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D907" w14:textId="4F959CCE" w:rsidR="00132949" w:rsidRPr="00292347" w:rsidRDefault="00870EF9" w:rsidP="005137EE">
      <w:pPr>
        <w:ind w:left="-360"/>
        <w:rPr>
          <w:rFonts w:ascii="Arial" w:hAnsi="Arial" w:cs="Arial"/>
          <w:b/>
          <w:bCs/>
          <w:color w:val="003865"/>
          <w:sz w:val="72"/>
          <w:szCs w:val="72"/>
        </w:rPr>
      </w:pPr>
      <w:r>
        <w:rPr>
          <w:rFonts w:ascii="Arial" w:hAnsi="Arial" w:cs="Arial"/>
          <w:b/>
          <w:bCs/>
          <w:color w:val="003865"/>
          <w:sz w:val="72"/>
          <w:szCs w:val="72"/>
        </w:rPr>
        <w:t>FAQs</w:t>
      </w:r>
      <w:r w:rsidR="00362A75">
        <w:rPr>
          <w:rFonts w:ascii="Arial" w:hAnsi="Arial" w:cs="Arial"/>
          <w:b/>
          <w:bCs/>
          <w:color w:val="003865"/>
          <w:sz w:val="72"/>
          <w:szCs w:val="72"/>
        </w:rPr>
        <w:t>:</w:t>
      </w:r>
    </w:p>
    <w:p w14:paraId="4432C379" w14:textId="0019AFCB" w:rsidR="00194680" w:rsidRPr="00292347" w:rsidRDefault="00CF07DC" w:rsidP="00292347">
      <w:pPr>
        <w:spacing w:after="100"/>
        <w:ind w:left="-360"/>
        <w:rPr>
          <w:rFonts w:ascii="Arial" w:hAnsi="Arial" w:cs="Arial"/>
          <w:color w:val="62B5E5"/>
          <w:sz w:val="52"/>
          <w:szCs w:val="52"/>
        </w:rPr>
      </w:pPr>
      <w:r>
        <w:rPr>
          <w:rFonts w:ascii="Arial" w:hAnsi="Arial" w:cs="Arial"/>
          <w:color w:val="62B5E5"/>
          <w:sz w:val="52"/>
          <w:szCs w:val="52"/>
        </w:rPr>
        <w:t>Kentucky Product Development Initiative</w:t>
      </w:r>
      <w:r w:rsidR="00870EF9" w:rsidRPr="00292347">
        <w:rPr>
          <w:rFonts w:ascii="Arial" w:hAnsi="Arial" w:cs="Arial"/>
          <w:color w:val="62B5E5"/>
          <w:sz w:val="52"/>
          <w:szCs w:val="52"/>
        </w:rPr>
        <w:t xml:space="preserve"> (</w:t>
      </w:r>
      <w:r>
        <w:rPr>
          <w:rFonts w:ascii="Arial" w:hAnsi="Arial" w:cs="Arial"/>
          <w:color w:val="62B5E5"/>
          <w:sz w:val="52"/>
          <w:szCs w:val="52"/>
        </w:rPr>
        <w:t>KPDI</w:t>
      </w:r>
      <w:r w:rsidR="00870EF9" w:rsidRPr="00292347">
        <w:rPr>
          <w:rFonts w:ascii="Arial" w:hAnsi="Arial" w:cs="Arial"/>
          <w:color w:val="62B5E5"/>
          <w:sz w:val="52"/>
          <w:szCs w:val="52"/>
        </w:rPr>
        <w:t>) Program</w:t>
      </w:r>
    </w:p>
    <w:p w14:paraId="6A81E24E" w14:textId="74799CB7" w:rsidR="00EB1F1E" w:rsidRPr="00292347" w:rsidRDefault="00E52364" w:rsidP="006C5AE4">
      <w:pPr>
        <w:ind w:left="-360"/>
        <w:rPr>
          <w:rFonts w:ascii="Arial Narrow" w:hAnsi="Arial Narrow" w:cs="Arial"/>
          <w:b/>
          <w:bCs/>
          <w:color w:val="62B5E5"/>
        </w:rPr>
      </w:pPr>
      <w:r w:rsidRPr="00292347">
        <w:rPr>
          <w:rFonts w:ascii="Arial Narrow" w:hAnsi="Arial Narrow" w:cs="Arial"/>
          <w:b/>
          <w:bCs/>
          <w:noProof/>
          <w:color w:val="62B5E5"/>
        </w:rPr>
        <mc:AlternateContent>
          <mc:Choice Requires="wps">
            <w:drawing>
              <wp:anchor distT="0" distB="0" distL="114300" distR="114300" simplePos="0" relativeHeight="251664384" behindDoc="0" locked="0" layoutInCell="1" allowOverlap="1" wp14:anchorId="26AA8F1C" wp14:editId="7840E9BA">
                <wp:simplePos x="0" y="0"/>
                <wp:positionH relativeFrom="column">
                  <wp:posOffset>-228600</wp:posOffset>
                </wp:positionH>
                <wp:positionV relativeFrom="paragraph">
                  <wp:posOffset>254000</wp:posOffset>
                </wp:positionV>
                <wp:extent cx="61849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18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1431F7"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0pt" to="46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" strokecolor="black [3200]" strokeweight=".5pt">
                <v:stroke joinstyle="miter"/>
              </v:line>
            </w:pict>
          </mc:Fallback>
        </mc:AlternateContent>
      </w:r>
      <w:r>
        <w:rPr>
          <w:rFonts w:ascii="Arial Narrow" w:hAnsi="Arial Narrow" w:cs="Arial"/>
          <w:b/>
          <w:bCs/>
          <w:color w:val="62B5E5"/>
        </w:rPr>
        <w:t xml:space="preserve">August </w:t>
      </w:r>
      <w:r w:rsidR="0074157D">
        <w:rPr>
          <w:rFonts w:ascii="Arial Narrow" w:hAnsi="Arial Narrow" w:cs="Arial"/>
          <w:b/>
          <w:bCs/>
          <w:color w:val="62B5E5"/>
        </w:rPr>
        <w:t>202</w:t>
      </w:r>
      <w:r w:rsidR="00CF07DC">
        <w:rPr>
          <w:rFonts w:ascii="Arial Narrow" w:hAnsi="Arial Narrow" w:cs="Arial"/>
          <w:b/>
          <w:bCs/>
          <w:color w:val="62B5E5"/>
        </w:rPr>
        <w:t>2</w:t>
      </w:r>
    </w:p>
    <w:p w14:paraId="13D3B304" w14:textId="77777777" w:rsidR="00EB1F1E" w:rsidRPr="00815CE1" w:rsidRDefault="00EB1F1E" w:rsidP="00815CE1">
      <w:pPr>
        <w:ind w:left="-360"/>
        <w:rPr>
          <w:rFonts w:ascii="Arial" w:hAnsi="Arial" w:cs="Arial"/>
          <w:color w:val="61AAD2"/>
        </w:rPr>
      </w:pPr>
    </w:p>
    <w:p w14:paraId="4E0413FB" w14:textId="2E7AA684" w:rsidR="00870EF9" w:rsidRPr="00292347" w:rsidRDefault="00870EF9" w:rsidP="00870EF9">
      <w:pPr>
        <w:ind w:left="-360"/>
        <w:rPr>
          <w:rFonts w:ascii="Arial" w:hAnsi="Arial" w:cs="Arial"/>
          <w:sz w:val="20"/>
          <w:szCs w:val="20"/>
        </w:rPr>
      </w:pPr>
      <w:r w:rsidRPr="00292347">
        <w:rPr>
          <w:rFonts w:ascii="Arial" w:hAnsi="Arial" w:cs="Arial"/>
          <w:sz w:val="20"/>
          <w:szCs w:val="20"/>
        </w:rPr>
        <w:t xml:space="preserve">The purpose of this document is to address various questions about the </w:t>
      </w:r>
      <w:r w:rsidR="00CF07DC">
        <w:rPr>
          <w:rFonts w:ascii="Arial" w:hAnsi="Arial" w:cs="Arial"/>
          <w:sz w:val="20"/>
          <w:szCs w:val="20"/>
        </w:rPr>
        <w:t xml:space="preserve">Kentucky Product Development Initiative </w:t>
      </w:r>
      <w:r w:rsidR="00537FAB">
        <w:rPr>
          <w:rFonts w:ascii="Arial" w:hAnsi="Arial" w:cs="Arial"/>
          <w:sz w:val="20"/>
          <w:szCs w:val="20"/>
        </w:rPr>
        <w:t xml:space="preserve">(KPDI) </w:t>
      </w:r>
      <w:r w:rsidRPr="00292347">
        <w:rPr>
          <w:rFonts w:ascii="Arial" w:hAnsi="Arial" w:cs="Arial"/>
          <w:sz w:val="20"/>
          <w:szCs w:val="20"/>
        </w:rPr>
        <w:t>program and process</w:t>
      </w:r>
      <w:r w:rsidR="00050DBE">
        <w:rPr>
          <w:rFonts w:ascii="Arial" w:hAnsi="Arial" w:cs="Arial"/>
          <w:sz w:val="20"/>
          <w:szCs w:val="20"/>
        </w:rPr>
        <w:t xml:space="preserve">. </w:t>
      </w:r>
      <w:r w:rsidR="00FF6DBF">
        <w:rPr>
          <w:rFonts w:ascii="Arial" w:hAnsi="Arial" w:cs="Arial"/>
          <w:sz w:val="20"/>
          <w:szCs w:val="20"/>
        </w:rPr>
        <w:t xml:space="preserve">The Kentucky </w:t>
      </w:r>
      <w:r w:rsidRPr="00292347">
        <w:rPr>
          <w:rFonts w:ascii="Arial" w:hAnsi="Arial" w:cs="Arial"/>
          <w:sz w:val="20"/>
          <w:szCs w:val="20"/>
        </w:rPr>
        <w:t xml:space="preserve">Cabinet </w:t>
      </w:r>
      <w:r w:rsidR="00FF6DBF">
        <w:rPr>
          <w:rFonts w:ascii="Arial" w:hAnsi="Arial" w:cs="Arial"/>
          <w:sz w:val="20"/>
          <w:szCs w:val="20"/>
        </w:rPr>
        <w:t xml:space="preserve">for Economic Development (Cabinet) </w:t>
      </w:r>
      <w:r w:rsidR="00537FAB">
        <w:rPr>
          <w:rFonts w:ascii="Arial" w:hAnsi="Arial" w:cs="Arial"/>
          <w:sz w:val="20"/>
          <w:szCs w:val="20"/>
        </w:rPr>
        <w:t>s</w:t>
      </w:r>
      <w:r w:rsidRPr="00292347">
        <w:rPr>
          <w:rFonts w:ascii="Arial" w:hAnsi="Arial" w:cs="Arial"/>
          <w:sz w:val="20"/>
          <w:szCs w:val="20"/>
        </w:rPr>
        <w:t xml:space="preserve">taff is available and happy to discuss any potential project to determine if the </w:t>
      </w:r>
      <w:r w:rsidR="00CF07DC">
        <w:rPr>
          <w:rFonts w:ascii="Arial" w:hAnsi="Arial" w:cs="Arial"/>
          <w:sz w:val="20"/>
          <w:szCs w:val="20"/>
        </w:rPr>
        <w:t xml:space="preserve">KPDI </w:t>
      </w:r>
      <w:r w:rsidRPr="00292347">
        <w:rPr>
          <w:rFonts w:ascii="Arial" w:hAnsi="Arial" w:cs="Arial"/>
          <w:sz w:val="20"/>
          <w:szCs w:val="20"/>
        </w:rPr>
        <w:t xml:space="preserve">program is the best approach and </w:t>
      </w:r>
      <w:r w:rsidR="00537FAB">
        <w:rPr>
          <w:rFonts w:ascii="Arial" w:hAnsi="Arial" w:cs="Arial"/>
          <w:sz w:val="20"/>
          <w:szCs w:val="20"/>
        </w:rPr>
        <w:t>if any other incentive</w:t>
      </w:r>
      <w:r w:rsidRPr="00292347">
        <w:rPr>
          <w:rFonts w:ascii="Arial" w:hAnsi="Arial" w:cs="Arial"/>
          <w:sz w:val="20"/>
          <w:szCs w:val="20"/>
        </w:rPr>
        <w:t xml:space="preserve"> program</w:t>
      </w:r>
      <w:r w:rsidR="00537FAB">
        <w:rPr>
          <w:rFonts w:ascii="Arial" w:hAnsi="Arial" w:cs="Arial"/>
          <w:sz w:val="20"/>
          <w:szCs w:val="20"/>
        </w:rPr>
        <w:t>s</w:t>
      </w:r>
      <w:r w:rsidRPr="00292347">
        <w:rPr>
          <w:rFonts w:ascii="Arial" w:hAnsi="Arial" w:cs="Arial"/>
          <w:sz w:val="20"/>
          <w:szCs w:val="20"/>
        </w:rPr>
        <w:t xml:space="preserve"> align with the potential project.</w:t>
      </w:r>
      <w:r w:rsidR="00F15C32">
        <w:rPr>
          <w:rFonts w:ascii="Arial" w:hAnsi="Arial" w:cs="Arial"/>
          <w:sz w:val="20"/>
          <w:szCs w:val="20"/>
        </w:rPr>
        <w:t xml:space="preserve"> Any term not defined in this FAQ document will have the same meaning as in the Fact Sheet (a link to which can be found at the bottom of this document).</w:t>
      </w:r>
    </w:p>
    <w:p w14:paraId="36E88CB1" w14:textId="77777777" w:rsidR="00870EF9" w:rsidRPr="00BD003B" w:rsidRDefault="00870EF9" w:rsidP="00870EF9">
      <w:pPr>
        <w:ind w:left="-360"/>
        <w:rPr>
          <w:rFonts w:ascii="Arial" w:hAnsi="Arial" w:cs="Arial"/>
          <w:color w:val="000000"/>
          <w:sz w:val="28"/>
          <w:szCs w:val="28"/>
        </w:rPr>
      </w:pPr>
    </w:p>
    <w:p w14:paraId="6A969DF6" w14:textId="3462E2D7" w:rsidR="000505A9" w:rsidRPr="00292347" w:rsidRDefault="00870EF9" w:rsidP="00292347">
      <w:pPr>
        <w:spacing w:after="100"/>
        <w:ind w:left="-360"/>
        <w:rPr>
          <w:rFonts w:ascii="Arial Narrow" w:hAnsi="Arial Narrow"/>
          <w:b/>
          <w:bCs/>
          <w:color w:val="003865"/>
          <w:sz w:val="28"/>
          <w:szCs w:val="28"/>
        </w:rPr>
      </w:pPr>
      <w:r w:rsidRPr="00292347">
        <w:rPr>
          <w:rFonts w:ascii="Arial Narrow" w:hAnsi="Arial Narrow"/>
          <w:b/>
          <w:bCs/>
          <w:color w:val="003865"/>
          <w:sz w:val="28"/>
          <w:szCs w:val="28"/>
        </w:rPr>
        <w:t>What</w:t>
      </w:r>
      <w:r w:rsidR="00CF07DC">
        <w:rPr>
          <w:rFonts w:ascii="Arial Narrow" w:hAnsi="Arial Narrow"/>
          <w:b/>
          <w:bCs/>
          <w:color w:val="003865"/>
          <w:sz w:val="28"/>
          <w:szCs w:val="28"/>
        </w:rPr>
        <w:t xml:space="preserve"> entities may apply as </w:t>
      </w:r>
      <w:r w:rsidR="00354A16">
        <w:rPr>
          <w:rFonts w:ascii="Arial Narrow" w:hAnsi="Arial Narrow"/>
          <w:b/>
          <w:bCs/>
          <w:color w:val="003865"/>
          <w:sz w:val="28"/>
          <w:szCs w:val="28"/>
        </w:rPr>
        <w:t>Eligible Grant Recipients</w:t>
      </w:r>
      <w:r w:rsidR="00CF07DC">
        <w:rPr>
          <w:rFonts w:ascii="Arial Narrow" w:hAnsi="Arial Narrow"/>
          <w:b/>
          <w:bCs/>
          <w:color w:val="003865"/>
          <w:sz w:val="28"/>
          <w:szCs w:val="28"/>
        </w:rPr>
        <w:t xml:space="preserve"> of the KPDI grant funds</w:t>
      </w:r>
      <w:r w:rsidRPr="00292347">
        <w:rPr>
          <w:rFonts w:ascii="Arial Narrow" w:hAnsi="Arial Narrow"/>
          <w:b/>
          <w:bCs/>
          <w:color w:val="003865"/>
          <w:sz w:val="28"/>
          <w:szCs w:val="28"/>
        </w:rPr>
        <w:t>?</w:t>
      </w:r>
    </w:p>
    <w:p w14:paraId="7D93A7E6" w14:textId="67F501D3" w:rsidR="00CF07DC" w:rsidRDefault="00537FAB" w:rsidP="000505A9">
      <w:pPr>
        <w:spacing w:after="100"/>
        <w:ind w:left="-360"/>
        <w:rPr>
          <w:rFonts w:ascii="Arial" w:hAnsi="Arial" w:cs="Arial"/>
          <w:sz w:val="20"/>
          <w:szCs w:val="20"/>
        </w:rPr>
      </w:pPr>
      <w:r>
        <w:rPr>
          <w:rFonts w:ascii="Arial" w:hAnsi="Arial" w:cs="Arial"/>
          <w:sz w:val="20"/>
          <w:szCs w:val="20"/>
        </w:rPr>
        <w:t>A</w:t>
      </w:r>
      <w:r w:rsidR="00CF07DC" w:rsidRPr="000505A9">
        <w:rPr>
          <w:rFonts w:ascii="Arial" w:hAnsi="Arial" w:cs="Arial"/>
          <w:sz w:val="20"/>
          <w:szCs w:val="20"/>
        </w:rPr>
        <w:t xml:space="preserve"> local government or an economic development authority </w:t>
      </w:r>
      <w:r>
        <w:rPr>
          <w:rFonts w:ascii="Arial" w:hAnsi="Arial" w:cs="Arial"/>
          <w:sz w:val="20"/>
          <w:szCs w:val="20"/>
        </w:rPr>
        <w:t xml:space="preserve">in Kentucky planning to </w:t>
      </w:r>
      <w:r w:rsidR="00CF07DC" w:rsidRPr="000505A9">
        <w:rPr>
          <w:rFonts w:ascii="Arial" w:hAnsi="Arial" w:cs="Arial"/>
          <w:sz w:val="20"/>
          <w:szCs w:val="20"/>
        </w:rPr>
        <w:t xml:space="preserve">engage in an </w:t>
      </w:r>
      <w:r>
        <w:rPr>
          <w:rFonts w:ascii="Arial" w:hAnsi="Arial" w:cs="Arial"/>
          <w:sz w:val="20"/>
          <w:szCs w:val="20"/>
        </w:rPr>
        <w:t>E</w:t>
      </w:r>
      <w:r w:rsidR="00CF07DC" w:rsidRPr="000505A9">
        <w:rPr>
          <w:rFonts w:ascii="Arial" w:hAnsi="Arial" w:cs="Arial"/>
          <w:sz w:val="20"/>
          <w:szCs w:val="20"/>
        </w:rPr>
        <w:t xml:space="preserve">conomic </w:t>
      </w:r>
      <w:r>
        <w:rPr>
          <w:rFonts w:ascii="Arial" w:hAnsi="Arial" w:cs="Arial"/>
          <w:sz w:val="20"/>
          <w:szCs w:val="20"/>
        </w:rPr>
        <w:t>D</w:t>
      </w:r>
      <w:r w:rsidR="00CF07DC" w:rsidRPr="000505A9">
        <w:rPr>
          <w:rFonts w:ascii="Arial" w:hAnsi="Arial" w:cs="Arial"/>
          <w:sz w:val="20"/>
          <w:szCs w:val="20"/>
        </w:rPr>
        <w:t xml:space="preserve">evelopment </w:t>
      </w:r>
      <w:r>
        <w:rPr>
          <w:rFonts w:ascii="Arial" w:hAnsi="Arial" w:cs="Arial"/>
          <w:sz w:val="20"/>
          <w:szCs w:val="20"/>
        </w:rPr>
        <w:t>P</w:t>
      </w:r>
      <w:r w:rsidR="00CF07DC" w:rsidRPr="000505A9">
        <w:rPr>
          <w:rFonts w:ascii="Arial" w:hAnsi="Arial" w:cs="Arial"/>
          <w:sz w:val="20"/>
          <w:szCs w:val="20"/>
        </w:rPr>
        <w:t>roject</w:t>
      </w:r>
      <w:r>
        <w:rPr>
          <w:rFonts w:ascii="Arial" w:hAnsi="Arial" w:cs="Arial"/>
          <w:sz w:val="20"/>
          <w:szCs w:val="20"/>
        </w:rPr>
        <w:t xml:space="preserve"> (as defined on the fact sheet)</w:t>
      </w:r>
      <w:r w:rsidR="00CF07DC" w:rsidRPr="000505A9">
        <w:rPr>
          <w:rFonts w:ascii="Arial" w:hAnsi="Arial" w:cs="Arial"/>
          <w:sz w:val="20"/>
          <w:szCs w:val="20"/>
        </w:rPr>
        <w:t xml:space="preserve"> in Kentucky.  </w:t>
      </w:r>
      <w:r>
        <w:rPr>
          <w:rFonts w:ascii="Arial" w:hAnsi="Arial" w:cs="Arial"/>
          <w:sz w:val="20"/>
          <w:szCs w:val="20"/>
        </w:rPr>
        <w:t xml:space="preserve">Examples </w:t>
      </w:r>
      <w:r w:rsidR="00CF07DC" w:rsidRPr="000505A9">
        <w:rPr>
          <w:rFonts w:ascii="Arial" w:hAnsi="Arial" w:cs="Arial"/>
          <w:sz w:val="20"/>
          <w:szCs w:val="20"/>
        </w:rPr>
        <w:t>include</w:t>
      </w:r>
      <w:r>
        <w:rPr>
          <w:rFonts w:ascii="Arial" w:hAnsi="Arial" w:cs="Arial"/>
          <w:sz w:val="20"/>
          <w:szCs w:val="20"/>
        </w:rPr>
        <w:t xml:space="preserve"> cities, counties,</w:t>
      </w:r>
      <w:r w:rsidR="00CF07DC" w:rsidRPr="000505A9">
        <w:rPr>
          <w:rFonts w:ascii="Arial" w:hAnsi="Arial" w:cs="Arial"/>
          <w:sz w:val="20"/>
          <w:szCs w:val="20"/>
        </w:rPr>
        <w:t xml:space="preserve"> riverport authorities, </w:t>
      </w:r>
      <w:r>
        <w:rPr>
          <w:rFonts w:ascii="Arial" w:hAnsi="Arial" w:cs="Arial"/>
          <w:sz w:val="20"/>
          <w:szCs w:val="20"/>
        </w:rPr>
        <w:t xml:space="preserve">industrial development authorities, </w:t>
      </w:r>
      <w:r w:rsidR="00CF07DC" w:rsidRPr="000505A9">
        <w:rPr>
          <w:rFonts w:ascii="Arial" w:hAnsi="Arial" w:cs="Arial"/>
          <w:sz w:val="20"/>
          <w:szCs w:val="20"/>
        </w:rPr>
        <w:t xml:space="preserve">public entities, and other special purpose government entities.  </w:t>
      </w:r>
    </w:p>
    <w:p w14:paraId="3D53F975" w14:textId="5995D65E" w:rsidR="0008093C" w:rsidRPr="00BD003B" w:rsidRDefault="0008093C" w:rsidP="000505A9">
      <w:pPr>
        <w:spacing w:after="100"/>
        <w:ind w:left="-360"/>
        <w:rPr>
          <w:rFonts w:ascii="Arial" w:hAnsi="Arial" w:cs="Arial"/>
          <w:sz w:val="28"/>
          <w:szCs w:val="28"/>
        </w:rPr>
      </w:pPr>
    </w:p>
    <w:p w14:paraId="158B3864" w14:textId="77777777" w:rsidR="0008093C" w:rsidRDefault="0008093C" w:rsidP="0008093C">
      <w:pPr>
        <w:spacing w:after="100"/>
        <w:ind w:left="-360"/>
        <w:rPr>
          <w:rFonts w:ascii="Arial" w:hAnsi="Arial" w:cs="Arial"/>
          <w:sz w:val="20"/>
          <w:szCs w:val="20"/>
        </w:rPr>
      </w:pPr>
      <w:r w:rsidRPr="00A4369C">
        <w:rPr>
          <w:rFonts w:ascii="Arial Narrow" w:hAnsi="Arial Narrow"/>
          <w:b/>
          <w:bCs/>
          <w:color w:val="003865"/>
          <w:sz w:val="28"/>
          <w:szCs w:val="28"/>
        </w:rPr>
        <w:t xml:space="preserve">What is required if a local government or economic development entity does not currently own the land? </w:t>
      </w:r>
    </w:p>
    <w:p w14:paraId="18FF1DB0" w14:textId="77777777" w:rsidR="0008093C" w:rsidRPr="00A31E56" w:rsidRDefault="0008093C" w:rsidP="0008093C">
      <w:pPr>
        <w:spacing w:after="100"/>
        <w:ind w:left="-360"/>
        <w:rPr>
          <w:rFonts w:ascii="Arial" w:hAnsi="Arial" w:cs="Arial"/>
          <w:sz w:val="20"/>
          <w:szCs w:val="20"/>
        </w:rPr>
      </w:pPr>
      <w:r w:rsidRPr="00A4369C">
        <w:rPr>
          <w:rFonts w:ascii="Arial" w:hAnsi="Arial" w:cs="Arial"/>
          <w:sz w:val="20"/>
          <w:szCs w:val="20"/>
        </w:rPr>
        <w:t>A legally binding letter of intent, option for the sale or sale agreement.</w:t>
      </w:r>
    </w:p>
    <w:p w14:paraId="24A73DAF" w14:textId="77777777" w:rsidR="00870EF9" w:rsidRPr="00BD003B" w:rsidRDefault="00870EF9" w:rsidP="00292347">
      <w:pPr>
        <w:jc w:val="both"/>
        <w:rPr>
          <w:rFonts w:ascii="Arial" w:hAnsi="Arial" w:cs="Arial"/>
          <w:sz w:val="28"/>
          <w:szCs w:val="28"/>
        </w:rPr>
      </w:pPr>
    </w:p>
    <w:p w14:paraId="660A99CC" w14:textId="740E4643" w:rsidR="000505A9" w:rsidRPr="00292347" w:rsidRDefault="00870EF9" w:rsidP="00292347">
      <w:pPr>
        <w:spacing w:after="100"/>
        <w:ind w:left="-360"/>
        <w:rPr>
          <w:rFonts w:ascii="Arial Narrow" w:hAnsi="Arial Narrow"/>
          <w:b/>
          <w:bCs/>
          <w:color w:val="003865"/>
          <w:sz w:val="28"/>
          <w:szCs w:val="28"/>
        </w:rPr>
      </w:pPr>
      <w:r w:rsidRPr="00292347">
        <w:rPr>
          <w:rFonts w:ascii="Arial Narrow" w:hAnsi="Arial Narrow"/>
          <w:b/>
          <w:bCs/>
          <w:color w:val="003865"/>
          <w:sz w:val="28"/>
          <w:szCs w:val="28"/>
        </w:rPr>
        <w:t xml:space="preserve">What </w:t>
      </w:r>
      <w:r w:rsidR="00CF07DC">
        <w:rPr>
          <w:rFonts w:ascii="Arial Narrow" w:hAnsi="Arial Narrow"/>
          <w:b/>
          <w:bCs/>
          <w:color w:val="003865"/>
          <w:sz w:val="28"/>
          <w:szCs w:val="28"/>
        </w:rPr>
        <w:t>are the eligible</w:t>
      </w:r>
      <w:r w:rsidRPr="00292347">
        <w:rPr>
          <w:rFonts w:ascii="Arial Narrow" w:hAnsi="Arial Narrow"/>
          <w:b/>
          <w:bCs/>
          <w:color w:val="003865"/>
          <w:sz w:val="28"/>
          <w:szCs w:val="28"/>
        </w:rPr>
        <w:t xml:space="preserve"> </w:t>
      </w:r>
      <w:r w:rsidR="00CF07DC">
        <w:rPr>
          <w:rFonts w:ascii="Arial Narrow" w:hAnsi="Arial Narrow"/>
          <w:b/>
          <w:bCs/>
          <w:color w:val="003865"/>
          <w:sz w:val="28"/>
          <w:szCs w:val="28"/>
        </w:rPr>
        <w:t xml:space="preserve">uses </w:t>
      </w:r>
      <w:r w:rsidR="00761515">
        <w:rPr>
          <w:rFonts w:ascii="Arial Narrow" w:hAnsi="Arial Narrow"/>
          <w:b/>
          <w:bCs/>
          <w:color w:val="003865"/>
          <w:sz w:val="28"/>
          <w:szCs w:val="28"/>
        </w:rPr>
        <w:t>of</w:t>
      </w:r>
      <w:r w:rsidR="00CF07DC">
        <w:rPr>
          <w:rFonts w:ascii="Arial Narrow" w:hAnsi="Arial Narrow"/>
          <w:b/>
          <w:bCs/>
          <w:color w:val="003865"/>
          <w:sz w:val="28"/>
          <w:szCs w:val="28"/>
        </w:rPr>
        <w:t xml:space="preserve"> the grant funds</w:t>
      </w:r>
      <w:r w:rsidRPr="00292347">
        <w:rPr>
          <w:rFonts w:ascii="Arial Narrow" w:hAnsi="Arial Narrow"/>
          <w:b/>
          <w:bCs/>
          <w:color w:val="003865"/>
          <w:sz w:val="28"/>
          <w:szCs w:val="28"/>
        </w:rPr>
        <w:t>?</w:t>
      </w:r>
    </w:p>
    <w:p w14:paraId="4005A915" w14:textId="5FEC6EDD" w:rsidR="00CF07DC" w:rsidRDefault="00CF07DC" w:rsidP="000505A9">
      <w:pPr>
        <w:spacing w:after="100"/>
        <w:ind w:left="-360"/>
        <w:rPr>
          <w:rFonts w:ascii="Arial" w:hAnsi="Arial" w:cs="Arial"/>
          <w:sz w:val="20"/>
          <w:szCs w:val="20"/>
          <w:lang w:val="en-CA"/>
        </w:rPr>
      </w:pPr>
      <w:r>
        <w:rPr>
          <w:rFonts w:ascii="Arial" w:hAnsi="Arial" w:cs="Arial"/>
          <w:sz w:val="20"/>
          <w:szCs w:val="20"/>
          <w:lang w:val="en-CA"/>
        </w:rPr>
        <w:t>Eligible use</w:t>
      </w:r>
      <w:r w:rsidR="004F01FB">
        <w:rPr>
          <w:rFonts w:ascii="Arial" w:hAnsi="Arial" w:cs="Arial"/>
          <w:sz w:val="20"/>
          <w:szCs w:val="20"/>
          <w:lang w:val="en-CA"/>
        </w:rPr>
        <w:t>s</w:t>
      </w:r>
      <w:r>
        <w:rPr>
          <w:rFonts w:ascii="Arial" w:hAnsi="Arial" w:cs="Arial"/>
          <w:sz w:val="20"/>
          <w:szCs w:val="20"/>
          <w:lang w:val="en-CA"/>
        </w:rPr>
        <w:t xml:space="preserve"> may include, but </w:t>
      </w:r>
      <w:r w:rsidR="004F01FB">
        <w:rPr>
          <w:rFonts w:ascii="Arial" w:hAnsi="Arial" w:cs="Arial"/>
          <w:sz w:val="20"/>
          <w:szCs w:val="20"/>
          <w:lang w:val="en-CA"/>
        </w:rPr>
        <w:t>are</w:t>
      </w:r>
      <w:r>
        <w:rPr>
          <w:rFonts w:ascii="Arial" w:hAnsi="Arial" w:cs="Arial"/>
          <w:sz w:val="20"/>
          <w:szCs w:val="20"/>
          <w:lang w:val="en-CA"/>
        </w:rPr>
        <w:t xml:space="preserve"> not limited to, expenditure in any of the following categories or some combination thereof</w:t>
      </w:r>
      <w:r w:rsidR="00FF6DBF">
        <w:rPr>
          <w:rFonts w:ascii="Arial" w:hAnsi="Arial" w:cs="Arial"/>
          <w:sz w:val="20"/>
          <w:szCs w:val="20"/>
          <w:lang w:val="en-CA"/>
        </w:rPr>
        <w:t>, subject to Cabinet review</w:t>
      </w:r>
      <w:r>
        <w:rPr>
          <w:rFonts w:ascii="Arial" w:hAnsi="Arial" w:cs="Arial"/>
          <w:sz w:val="20"/>
          <w:szCs w:val="20"/>
          <w:lang w:val="en-CA"/>
        </w:rPr>
        <w:t>:</w:t>
      </w:r>
    </w:p>
    <w:p w14:paraId="343450C3" w14:textId="77777777" w:rsidR="00CF07DC" w:rsidRDefault="00CF07DC" w:rsidP="00CF07DC">
      <w:pPr>
        <w:pStyle w:val="ListParagraph"/>
        <w:numPr>
          <w:ilvl w:val="0"/>
          <w:numId w:val="44"/>
        </w:numPr>
        <w:spacing w:after="120"/>
        <w:rPr>
          <w:rFonts w:ascii="Arial" w:hAnsi="Arial" w:cs="Arial"/>
          <w:bCs/>
          <w:sz w:val="20"/>
          <w:szCs w:val="20"/>
        </w:rPr>
      </w:pPr>
      <w:r>
        <w:rPr>
          <w:rFonts w:ascii="Arial" w:hAnsi="Arial" w:cs="Arial"/>
          <w:bCs/>
          <w:sz w:val="20"/>
          <w:szCs w:val="20"/>
        </w:rPr>
        <w:t>Due diligence study</w:t>
      </w:r>
    </w:p>
    <w:p w14:paraId="560B2347" w14:textId="77777777" w:rsidR="00CF07DC" w:rsidRPr="0087515E" w:rsidRDefault="00CF07DC" w:rsidP="00CF07DC">
      <w:pPr>
        <w:pStyle w:val="ListParagraph"/>
        <w:widowControl w:val="0"/>
        <w:numPr>
          <w:ilvl w:val="1"/>
          <w:numId w:val="44"/>
        </w:numPr>
        <w:tabs>
          <w:tab w:val="left" w:pos="-180"/>
        </w:tabs>
        <w:suppressAutoHyphens/>
        <w:autoSpaceDE w:val="0"/>
        <w:autoSpaceDN w:val="0"/>
        <w:adjustRightInd w:val="0"/>
        <w:contextualSpacing w:val="0"/>
        <w:textAlignment w:val="center"/>
        <w:rPr>
          <w:rFonts w:ascii="Arial" w:hAnsi="Arial" w:cs="Arial"/>
          <w:color w:val="000000"/>
          <w:spacing w:val="-2"/>
          <w:sz w:val="20"/>
          <w:szCs w:val="20"/>
          <w:lang w:val="en-CA"/>
        </w:rPr>
      </w:pPr>
      <w:r>
        <w:rPr>
          <w:rFonts w:ascii="Arial" w:hAnsi="Arial" w:cs="Arial"/>
          <w:noProof/>
          <w:color w:val="000000"/>
          <w:spacing w:val="-2"/>
          <w:sz w:val="20"/>
          <w:szCs w:val="20"/>
        </w:rPr>
        <w:t>Must validate the property is free from impediments listed in the Property Development Ability evaluation criteria</w:t>
      </w:r>
    </w:p>
    <w:p w14:paraId="04553DDA" w14:textId="77777777" w:rsidR="00CF07DC" w:rsidRDefault="00CF07DC" w:rsidP="00CF07DC">
      <w:pPr>
        <w:pStyle w:val="ListParagraph"/>
        <w:numPr>
          <w:ilvl w:val="0"/>
          <w:numId w:val="44"/>
        </w:numPr>
        <w:spacing w:after="120"/>
        <w:rPr>
          <w:rFonts w:ascii="Arial" w:hAnsi="Arial" w:cs="Arial"/>
          <w:bCs/>
          <w:sz w:val="20"/>
          <w:szCs w:val="20"/>
        </w:rPr>
      </w:pPr>
      <w:r>
        <w:rPr>
          <w:rFonts w:ascii="Arial" w:hAnsi="Arial" w:cs="Arial"/>
          <w:bCs/>
          <w:sz w:val="20"/>
          <w:szCs w:val="20"/>
        </w:rPr>
        <w:t>Property acquisition</w:t>
      </w:r>
    </w:p>
    <w:p w14:paraId="55328C9E" w14:textId="77777777" w:rsidR="00CF07DC" w:rsidRDefault="00CF07DC" w:rsidP="00CF07DC">
      <w:pPr>
        <w:pStyle w:val="ListParagraph"/>
        <w:numPr>
          <w:ilvl w:val="0"/>
          <w:numId w:val="44"/>
        </w:numPr>
        <w:spacing w:after="120"/>
        <w:rPr>
          <w:rFonts w:ascii="Arial" w:hAnsi="Arial" w:cs="Arial"/>
          <w:bCs/>
          <w:sz w:val="20"/>
          <w:szCs w:val="20"/>
        </w:rPr>
      </w:pPr>
      <w:r>
        <w:rPr>
          <w:rFonts w:ascii="Arial" w:hAnsi="Arial" w:cs="Arial"/>
          <w:bCs/>
          <w:sz w:val="20"/>
          <w:szCs w:val="20"/>
        </w:rPr>
        <w:t>Infrastructure extension or improvement</w:t>
      </w:r>
    </w:p>
    <w:p w14:paraId="0F495AA0" w14:textId="77777777" w:rsidR="00CF07DC" w:rsidRDefault="00CF07DC" w:rsidP="00CF07DC">
      <w:pPr>
        <w:pStyle w:val="ListParagraph"/>
        <w:numPr>
          <w:ilvl w:val="0"/>
          <w:numId w:val="44"/>
        </w:numPr>
        <w:spacing w:after="120"/>
        <w:rPr>
          <w:rFonts w:ascii="Arial" w:hAnsi="Arial" w:cs="Arial"/>
          <w:bCs/>
          <w:sz w:val="20"/>
          <w:szCs w:val="20"/>
        </w:rPr>
      </w:pPr>
      <w:r>
        <w:rPr>
          <w:rFonts w:ascii="Arial" w:hAnsi="Arial" w:cs="Arial"/>
          <w:bCs/>
          <w:sz w:val="20"/>
          <w:szCs w:val="20"/>
        </w:rPr>
        <w:t>Site preparation work</w:t>
      </w:r>
    </w:p>
    <w:p w14:paraId="154C47A3" w14:textId="77777777" w:rsidR="00CF07DC" w:rsidRPr="000505A9" w:rsidRDefault="00CF07DC" w:rsidP="000505A9">
      <w:pPr>
        <w:pStyle w:val="ListParagraph"/>
        <w:numPr>
          <w:ilvl w:val="0"/>
          <w:numId w:val="44"/>
        </w:numPr>
        <w:rPr>
          <w:rFonts w:ascii="Arial" w:hAnsi="Arial" w:cs="Arial"/>
          <w:bCs/>
          <w:sz w:val="20"/>
          <w:szCs w:val="20"/>
        </w:rPr>
      </w:pPr>
      <w:r w:rsidRPr="000505A9">
        <w:rPr>
          <w:rFonts w:ascii="Arial" w:hAnsi="Arial" w:cs="Arial"/>
          <w:bCs/>
          <w:sz w:val="20"/>
          <w:szCs w:val="20"/>
        </w:rPr>
        <w:t>Building construction or renovation</w:t>
      </w:r>
    </w:p>
    <w:p w14:paraId="3E104CA8" w14:textId="6BACD9E2" w:rsidR="00CF07DC" w:rsidRPr="00761515" w:rsidRDefault="00CF07DC" w:rsidP="00CF07DC">
      <w:pPr>
        <w:pStyle w:val="ListParagraph"/>
        <w:numPr>
          <w:ilvl w:val="0"/>
          <w:numId w:val="44"/>
        </w:numPr>
        <w:rPr>
          <w:rFonts w:ascii="Arial" w:hAnsi="Arial" w:cs="Arial"/>
          <w:sz w:val="20"/>
          <w:szCs w:val="20"/>
        </w:rPr>
      </w:pPr>
      <w:r w:rsidRPr="00CF07DC">
        <w:rPr>
          <w:rFonts w:ascii="Arial" w:hAnsi="Arial" w:cs="Arial"/>
          <w:bCs/>
          <w:sz w:val="20"/>
          <w:szCs w:val="20"/>
        </w:rPr>
        <w:t>Road improvement</w:t>
      </w:r>
      <w:r>
        <w:rPr>
          <w:rFonts w:ascii="Arial" w:hAnsi="Arial" w:cs="Arial"/>
          <w:bCs/>
          <w:sz w:val="20"/>
          <w:szCs w:val="20"/>
        </w:rPr>
        <w:t>s</w:t>
      </w:r>
    </w:p>
    <w:p w14:paraId="612FA30B" w14:textId="75313CFC" w:rsidR="00761515" w:rsidRPr="00761515" w:rsidRDefault="00761515" w:rsidP="00CF07DC">
      <w:pPr>
        <w:pStyle w:val="ListParagraph"/>
        <w:numPr>
          <w:ilvl w:val="0"/>
          <w:numId w:val="44"/>
        </w:numPr>
        <w:rPr>
          <w:rFonts w:ascii="Arial" w:hAnsi="Arial" w:cs="Arial"/>
          <w:sz w:val="20"/>
          <w:szCs w:val="20"/>
        </w:rPr>
      </w:pPr>
      <w:r>
        <w:rPr>
          <w:rFonts w:ascii="Arial" w:hAnsi="Arial" w:cs="Arial"/>
          <w:bCs/>
          <w:sz w:val="20"/>
          <w:szCs w:val="20"/>
        </w:rPr>
        <w:t>Spec Buildings</w:t>
      </w:r>
    </w:p>
    <w:p w14:paraId="7CFD85EE" w14:textId="59046E19" w:rsidR="00761515" w:rsidRPr="00CF07DC" w:rsidRDefault="00FF6DBF" w:rsidP="00CF07DC">
      <w:pPr>
        <w:pStyle w:val="ListParagraph"/>
        <w:numPr>
          <w:ilvl w:val="0"/>
          <w:numId w:val="44"/>
        </w:numPr>
        <w:rPr>
          <w:rFonts w:ascii="Arial" w:hAnsi="Arial" w:cs="Arial"/>
          <w:sz w:val="20"/>
          <w:szCs w:val="20"/>
        </w:rPr>
      </w:pPr>
      <w:r>
        <w:rPr>
          <w:rFonts w:ascii="Arial" w:hAnsi="Arial" w:cs="Arial"/>
          <w:bCs/>
          <w:sz w:val="20"/>
          <w:szCs w:val="20"/>
        </w:rPr>
        <w:t>Utility extensions</w:t>
      </w:r>
    </w:p>
    <w:p w14:paraId="437906B1" w14:textId="77777777" w:rsidR="00CF07DC" w:rsidRPr="00BD003B" w:rsidRDefault="00CF07DC" w:rsidP="00CF07DC">
      <w:pPr>
        <w:rPr>
          <w:rFonts w:ascii="Arial" w:hAnsi="Arial" w:cs="Arial"/>
          <w:sz w:val="28"/>
          <w:szCs w:val="28"/>
        </w:rPr>
      </w:pPr>
    </w:p>
    <w:p w14:paraId="713FBE13" w14:textId="215C3417" w:rsidR="00CF07DC" w:rsidRDefault="00CF07DC" w:rsidP="00CF07DC">
      <w:pPr>
        <w:spacing w:after="100"/>
        <w:ind w:left="-360"/>
        <w:rPr>
          <w:rFonts w:ascii="Arial" w:hAnsi="Arial" w:cs="Arial"/>
          <w:sz w:val="20"/>
          <w:szCs w:val="20"/>
        </w:rPr>
      </w:pPr>
      <w:r w:rsidRPr="00CF07DC">
        <w:rPr>
          <w:rFonts w:ascii="Arial Narrow" w:hAnsi="Arial Narrow"/>
          <w:b/>
          <w:bCs/>
          <w:color w:val="003865"/>
          <w:sz w:val="28"/>
          <w:szCs w:val="28"/>
        </w:rPr>
        <w:t xml:space="preserve">Can the </w:t>
      </w:r>
      <w:r>
        <w:rPr>
          <w:rFonts w:ascii="Arial Narrow" w:hAnsi="Arial Narrow"/>
          <w:b/>
          <w:bCs/>
          <w:color w:val="003865"/>
          <w:sz w:val="28"/>
          <w:szCs w:val="28"/>
        </w:rPr>
        <w:t xml:space="preserve">grant </w:t>
      </w:r>
      <w:r w:rsidRPr="00CF07DC">
        <w:rPr>
          <w:rFonts w:ascii="Arial Narrow" w:hAnsi="Arial Narrow"/>
          <w:b/>
          <w:bCs/>
          <w:color w:val="003865"/>
          <w:sz w:val="28"/>
          <w:szCs w:val="28"/>
        </w:rPr>
        <w:t xml:space="preserve">funds </w:t>
      </w:r>
      <w:r>
        <w:rPr>
          <w:rFonts w:ascii="Arial Narrow" w:hAnsi="Arial Narrow"/>
          <w:b/>
          <w:bCs/>
          <w:color w:val="003865"/>
          <w:sz w:val="28"/>
          <w:szCs w:val="28"/>
        </w:rPr>
        <w:t xml:space="preserve">be used </w:t>
      </w:r>
      <w:r w:rsidRPr="00CF07DC">
        <w:rPr>
          <w:rFonts w:ascii="Arial Narrow" w:hAnsi="Arial Narrow"/>
          <w:b/>
          <w:bCs/>
          <w:color w:val="003865"/>
          <w:sz w:val="28"/>
          <w:szCs w:val="28"/>
        </w:rPr>
        <w:t>to expand utilities to properties with existing industries</w:t>
      </w:r>
      <w:r w:rsidR="00F15C32">
        <w:rPr>
          <w:rFonts w:ascii="Arial Narrow" w:hAnsi="Arial Narrow"/>
          <w:b/>
          <w:bCs/>
          <w:color w:val="003865"/>
          <w:sz w:val="28"/>
          <w:szCs w:val="28"/>
        </w:rPr>
        <w:t>?</w:t>
      </w:r>
    </w:p>
    <w:p w14:paraId="0A44D4EC" w14:textId="670E8E01" w:rsidR="00870EF9" w:rsidRDefault="00F91747" w:rsidP="00CF07DC">
      <w:pPr>
        <w:spacing w:after="100"/>
        <w:ind w:left="-360"/>
        <w:rPr>
          <w:rFonts w:ascii="Arial" w:hAnsi="Arial" w:cs="Arial"/>
          <w:sz w:val="20"/>
          <w:szCs w:val="20"/>
        </w:rPr>
      </w:pPr>
      <w:r>
        <w:rPr>
          <w:rFonts w:ascii="Arial" w:hAnsi="Arial" w:cs="Arial"/>
          <w:sz w:val="20"/>
          <w:szCs w:val="20"/>
        </w:rPr>
        <w:t xml:space="preserve">Yes, the utility expansion </w:t>
      </w:r>
      <w:r w:rsidR="00CF07DC" w:rsidRPr="00CF07DC">
        <w:rPr>
          <w:rFonts w:ascii="Arial" w:hAnsi="Arial" w:cs="Arial"/>
          <w:sz w:val="20"/>
          <w:szCs w:val="20"/>
        </w:rPr>
        <w:t xml:space="preserve">would be </w:t>
      </w:r>
      <w:r>
        <w:rPr>
          <w:rFonts w:ascii="Arial" w:hAnsi="Arial" w:cs="Arial"/>
          <w:sz w:val="20"/>
          <w:szCs w:val="20"/>
        </w:rPr>
        <w:t xml:space="preserve">considered </w:t>
      </w:r>
      <w:r w:rsidR="00CF07DC" w:rsidRPr="00CF07DC">
        <w:rPr>
          <w:rFonts w:ascii="Arial" w:hAnsi="Arial" w:cs="Arial"/>
          <w:sz w:val="20"/>
          <w:szCs w:val="20"/>
        </w:rPr>
        <w:t xml:space="preserve">an eligible </w:t>
      </w:r>
      <w:r>
        <w:rPr>
          <w:rFonts w:ascii="Arial" w:hAnsi="Arial" w:cs="Arial"/>
          <w:sz w:val="20"/>
          <w:szCs w:val="20"/>
        </w:rPr>
        <w:t>use/cost</w:t>
      </w:r>
      <w:r w:rsidR="00CF07DC" w:rsidRPr="00CF07DC">
        <w:rPr>
          <w:rFonts w:ascii="Arial" w:hAnsi="Arial" w:cs="Arial"/>
          <w:sz w:val="20"/>
          <w:szCs w:val="20"/>
        </w:rPr>
        <w:t xml:space="preserve"> for the program. </w:t>
      </w:r>
      <w:r>
        <w:rPr>
          <w:rFonts w:ascii="Arial" w:hAnsi="Arial" w:cs="Arial"/>
          <w:sz w:val="20"/>
          <w:szCs w:val="20"/>
        </w:rPr>
        <w:t>Please note the independent consultant would still</w:t>
      </w:r>
      <w:r w:rsidR="00CF07DC" w:rsidRPr="00CF07DC">
        <w:rPr>
          <w:rFonts w:ascii="Arial" w:hAnsi="Arial" w:cs="Arial"/>
          <w:sz w:val="20"/>
          <w:szCs w:val="20"/>
        </w:rPr>
        <w:t xml:space="preserve"> need to</w:t>
      </w:r>
      <w:r w:rsidR="00F15C32">
        <w:rPr>
          <w:rFonts w:ascii="Arial" w:hAnsi="Arial" w:cs="Arial"/>
          <w:sz w:val="20"/>
          <w:szCs w:val="20"/>
        </w:rPr>
        <w:t xml:space="preserve"> evaluate and score</w:t>
      </w:r>
      <w:r w:rsidR="00CF07DC" w:rsidRPr="00CF07DC">
        <w:rPr>
          <w:rFonts w:ascii="Arial" w:hAnsi="Arial" w:cs="Arial"/>
          <w:sz w:val="20"/>
          <w:szCs w:val="20"/>
        </w:rPr>
        <w:t xml:space="preserve"> the application </w:t>
      </w:r>
      <w:r w:rsidR="00F15C32">
        <w:rPr>
          <w:rFonts w:ascii="Arial" w:hAnsi="Arial" w:cs="Arial"/>
          <w:sz w:val="20"/>
          <w:szCs w:val="20"/>
        </w:rPr>
        <w:t>for such a project.</w:t>
      </w:r>
    </w:p>
    <w:p w14:paraId="1DABD1AE" w14:textId="13E563EE" w:rsidR="00D3722B" w:rsidRDefault="00D3722B" w:rsidP="00CF07DC">
      <w:pPr>
        <w:spacing w:after="100"/>
        <w:ind w:left="-360"/>
        <w:rPr>
          <w:rFonts w:ascii="Arial" w:hAnsi="Arial" w:cs="Arial"/>
          <w:sz w:val="20"/>
          <w:szCs w:val="20"/>
        </w:rPr>
      </w:pPr>
    </w:p>
    <w:p w14:paraId="62376066" w14:textId="017A1914" w:rsidR="004D12B3" w:rsidRDefault="004D12B3" w:rsidP="00CF07DC">
      <w:pPr>
        <w:spacing w:after="100"/>
        <w:ind w:left="-360"/>
        <w:rPr>
          <w:rFonts w:ascii="Arial" w:hAnsi="Arial" w:cs="Arial"/>
          <w:sz w:val="20"/>
          <w:szCs w:val="20"/>
        </w:rPr>
      </w:pPr>
    </w:p>
    <w:p w14:paraId="4420B695" w14:textId="77777777" w:rsidR="004D12B3" w:rsidRDefault="004D12B3" w:rsidP="00CF07DC">
      <w:pPr>
        <w:spacing w:after="100"/>
        <w:ind w:left="-360"/>
        <w:rPr>
          <w:rFonts w:ascii="Arial" w:hAnsi="Arial" w:cs="Arial"/>
          <w:sz w:val="20"/>
          <w:szCs w:val="20"/>
        </w:rPr>
      </w:pPr>
    </w:p>
    <w:p w14:paraId="2C0DA606" w14:textId="7A026430" w:rsidR="00D3722B" w:rsidRDefault="00D3722B" w:rsidP="00D3722B">
      <w:pPr>
        <w:spacing w:after="100"/>
        <w:ind w:left="-360"/>
        <w:rPr>
          <w:rFonts w:ascii="Arial Narrow" w:hAnsi="Arial Narrow"/>
          <w:b/>
          <w:bCs/>
          <w:color w:val="003865"/>
          <w:sz w:val="28"/>
          <w:szCs w:val="28"/>
        </w:rPr>
      </w:pPr>
      <w:r w:rsidRPr="00A4369C">
        <w:rPr>
          <w:rFonts w:ascii="Arial Narrow" w:hAnsi="Arial Narrow"/>
          <w:b/>
          <w:bCs/>
          <w:color w:val="003865"/>
          <w:sz w:val="28"/>
          <w:szCs w:val="28"/>
        </w:rPr>
        <w:t>Will an applicant be limited in how much KPDI funding can</w:t>
      </w:r>
      <w:r w:rsidR="00F15C32">
        <w:rPr>
          <w:rFonts w:ascii="Arial Narrow" w:hAnsi="Arial Narrow"/>
          <w:b/>
          <w:bCs/>
          <w:color w:val="003865"/>
          <w:sz w:val="28"/>
          <w:szCs w:val="28"/>
        </w:rPr>
        <w:t xml:space="preserve"> be used for</w:t>
      </w:r>
      <w:r w:rsidRPr="00A4369C">
        <w:rPr>
          <w:rFonts w:ascii="Arial Narrow" w:hAnsi="Arial Narrow"/>
          <w:b/>
          <w:bCs/>
          <w:color w:val="003865"/>
          <w:sz w:val="28"/>
          <w:szCs w:val="28"/>
        </w:rPr>
        <w:t xml:space="preserve"> property acquisition?</w:t>
      </w:r>
    </w:p>
    <w:p w14:paraId="296FDD18" w14:textId="4BE6C642" w:rsidR="00F91747" w:rsidRDefault="00D3722B" w:rsidP="00D3722B">
      <w:pPr>
        <w:spacing w:after="100"/>
        <w:ind w:left="-360"/>
        <w:rPr>
          <w:rFonts w:ascii="Arial" w:hAnsi="Arial" w:cs="Arial"/>
          <w:sz w:val="20"/>
          <w:szCs w:val="20"/>
        </w:rPr>
      </w:pPr>
      <w:r w:rsidRPr="00A4369C">
        <w:rPr>
          <w:rFonts w:ascii="Arial" w:hAnsi="Arial" w:cs="Arial"/>
          <w:sz w:val="20"/>
          <w:szCs w:val="20"/>
        </w:rPr>
        <w:t>Funding</w:t>
      </w:r>
      <w:r w:rsidR="00F15C32">
        <w:rPr>
          <w:rFonts w:ascii="Arial" w:hAnsi="Arial" w:cs="Arial"/>
          <w:sz w:val="20"/>
          <w:szCs w:val="20"/>
        </w:rPr>
        <w:t xml:space="preserve"> per Eligible Project</w:t>
      </w:r>
      <w:r w:rsidRPr="00A4369C">
        <w:rPr>
          <w:rFonts w:ascii="Arial" w:hAnsi="Arial" w:cs="Arial"/>
          <w:sz w:val="20"/>
          <w:szCs w:val="20"/>
        </w:rPr>
        <w:t xml:space="preserve"> for the first round may be limited to the lesser of the following:  </w:t>
      </w:r>
    </w:p>
    <w:p w14:paraId="28D32B2A" w14:textId="77777777" w:rsidR="00F91747" w:rsidRDefault="00D3722B" w:rsidP="00F91747">
      <w:pPr>
        <w:spacing w:after="100"/>
        <w:ind w:left="-360" w:firstLine="1080"/>
        <w:rPr>
          <w:rFonts w:ascii="Arial" w:hAnsi="Arial" w:cs="Arial"/>
          <w:sz w:val="20"/>
          <w:szCs w:val="20"/>
        </w:rPr>
      </w:pPr>
      <w:r w:rsidRPr="00A4369C">
        <w:rPr>
          <w:rFonts w:ascii="Arial" w:hAnsi="Arial" w:cs="Arial"/>
          <w:sz w:val="20"/>
          <w:szCs w:val="20"/>
        </w:rPr>
        <w:t>1) Available matching funds on a dollar-for-dollar basis</w:t>
      </w:r>
    </w:p>
    <w:p w14:paraId="2C565D88" w14:textId="77777777" w:rsidR="00F91747" w:rsidRDefault="00D3722B" w:rsidP="00F91747">
      <w:pPr>
        <w:spacing w:after="100"/>
        <w:ind w:left="-360" w:firstLine="1080"/>
        <w:rPr>
          <w:rFonts w:ascii="Arial" w:hAnsi="Arial" w:cs="Arial"/>
          <w:sz w:val="20"/>
          <w:szCs w:val="20"/>
        </w:rPr>
      </w:pPr>
      <w:r w:rsidRPr="00A4369C">
        <w:rPr>
          <w:rFonts w:ascii="Arial" w:hAnsi="Arial" w:cs="Arial"/>
          <w:sz w:val="20"/>
          <w:szCs w:val="20"/>
        </w:rPr>
        <w:t>2) $2,000,000 per Eligible Project per county</w:t>
      </w:r>
    </w:p>
    <w:p w14:paraId="5453120E" w14:textId="1895226D" w:rsidR="00D3722B" w:rsidRPr="00A31E56" w:rsidRDefault="00D3722B" w:rsidP="00F91747">
      <w:pPr>
        <w:spacing w:after="100"/>
        <w:ind w:left="-360" w:firstLine="1080"/>
        <w:rPr>
          <w:rFonts w:ascii="Arial" w:hAnsi="Arial" w:cs="Arial"/>
          <w:sz w:val="20"/>
          <w:szCs w:val="20"/>
        </w:rPr>
      </w:pPr>
      <w:r w:rsidRPr="00A4369C">
        <w:rPr>
          <w:rFonts w:ascii="Arial" w:hAnsi="Arial" w:cs="Arial"/>
          <w:sz w:val="20"/>
          <w:szCs w:val="20"/>
        </w:rPr>
        <w:t>3) Program maximum funding available by county as outlined in the fact sheet</w:t>
      </w:r>
      <w:r>
        <w:rPr>
          <w:rFonts w:ascii="Arial" w:hAnsi="Arial" w:cs="Arial"/>
          <w:sz w:val="20"/>
          <w:szCs w:val="20"/>
        </w:rPr>
        <w:t>.</w:t>
      </w:r>
    </w:p>
    <w:p w14:paraId="1A81A575" w14:textId="583C4CA9" w:rsidR="00D3722B" w:rsidRDefault="00D3722B" w:rsidP="00D3722B">
      <w:pPr>
        <w:spacing w:after="100"/>
        <w:ind w:left="-360"/>
        <w:rPr>
          <w:rFonts w:ascii="Arial Narrow" w:hAnsi="Arial Narrow"/>
          <w:b/>
          <w:bCs/>
          <w:color w:val="003865"/>
          <w:sz w:val="28"/>
          <w:szCs w:val="28"/>
        </w:rPr>
      </w:pPr>
    </w:p>
    <w:p w14:paraId="5EE132E4" w14:textId="77777777" w:rsidR="000E15D1" w:rsidRDefault="000E15D1" w:rsidP="000E15D1">
      <w:pPr>
        <w:spacing w:after="100"/>
        <w:ind w:left="-360"/>
        <w:rPr>
          <w:rFonts w:ascii="Arial" w:hAnsi="Arial" w:cs="Arial"/>
          <w:sz w:val="20"/>
          <w:szCs w:val="20"/>
        </w:rPr>
      </w:pPr>
      <w:r w:rsidRPr="00A4369C">
        <w:rPr>
          <w:rFonts w:ascii="Arial Narrow" w:hAnsi="Arial Narrow"/>
          <w:b/>
          <w:bCs/>
          <w:color w:val="003865"/>
          <w:sz w:val="28"/>
          <w:szCs w:val="28"/>
        </w:rPr>
        <w:t xml:space="preserve">If </w:t>
      </w:r>
      <w:r>
        <w:rPr>
          <w:rFonts w:ascii="Arial Narrow" w:hAnsi="Arial Narrow"/>
          <w:b/>
          <w:bCs/>
          <w:color w:val="003865"/>
          <w:sz w:val="28"/>
          <w:szCs w:val="28"/>
        </w:rPr>
        <w:t xml:space="preserve">there are expenses that would be required before the application, can those be reimbursed with grant funds later?  </w:t>
      </w:r>
    </w:p>
    <w:p w14:paraId="55847CE8" w14:textId="1908FDD9" w:rsidR="000E15D1" w:rsidRDefault="000E15D1" w:rsidP="000E15D1">
      <w:pPr>
        <w:spacing w:after="100"/>
        <w:ind w:left="-360"/>
        <w:rPr>
          <w:rFonts w:ascii="Arial" w:hAnsi="Arial" w:cs="Arial"/>
          <w:sz w:val="20"/>
          <w:szCs w:val="20"/>
        </w:rPr>
      </w:pPr>
      <w:r w:rsidRPr="000E15D1">
        <w:rPr>
          <w:rFonts w:ascii="Arial" w:hAnsi="Arial" w:cs="Arial"/>
          <w:sz w:val="20"/>
          <w:szCs w:val="20"/>
        </w:rPr>
        <w:t xml:space="preserve">The Eligible Grant Recipient may begin incurring costs for the Eligible Project after the application deadline submission date to KAED at its own risk.  Should a KPDI funding award occur, costs incurred for the Eligible Project after the application submission date to KAED may be considered eligible </w:t>
      </w:r>
      <w:r w:rsidR="008705F2">
        <w:rPr>
          <w:rFonts w:ascii="Arial" w:hAnsi="Arial" w:cs="Arial"/>
          <w:sz w:val="20"/>
          <w:szCs w:val="20"/>
        </w:rPr>
        <w:t>as</w:t>
      </w:r>
      <w:r w:rsidRPr="000E15D1">
        <w:rPr>
          <w:rFonts w:ascii="Arial" w:hAnsi="Arial" w:cs="Arial"/>
          <w:sz w:val="20"/>
          <w:szCs w:val="20"/>
        </w:rPr>
        <w:t xml:space="preserve"> matching funds </w:t>
      </w:r>
      <w:r w:rsidR="008705F2">
        <w:rPr>
          <w:rFonts w:ascii="Arial" w:hAnsi="Arial" w:cs="Arial"/>
          <w:sz w:val="20"/>
          <w:szCs w:val="20"/>
        </w:rPr>
        <w:t>or for</w:t>
      </w:r>
      <w:r w:rsidRPr="000E15D1">
        <w:rPr>
          <w:rFonts w:ascii="Arial" w:hAnsi="Arial" w:cs="Arial"/>
          <w:sz w:val="20"/>
          <w:szCs w:val="20"/>
        </w:rPr>
        <w:t xml:space="preserve"> reimbursement.</w:t>
      </w:r>
    </w:p>
    <w:p w14:paraId="1C55D0F4" w14:textId="2045ACD7" w:rsidR="000E15D1" w:rsidRPr="000E15D1" w:rsidRDefault="000E15D1" w:rsidP="000E15D1">
      <w:pPr>
        <w:spacing w:after="100"/>
        <w:ind w:left="-360"/>
        <w:rPr>
          <w:rFonts w:ascii="Arial" w:hAnsi="Arial" w:cs="Arial"/>
          <w:sz w:val="20"/>
          <w:szCs w:val="20"/>
        </w:rPr>
      </w:pPr>
      <w:r w:rsidRPr="000E15D1">
        <w:rPr>
          <w:rFonts w:ascii="Arial" w:hAnsi="Arial" w:cs="Arial"/>
          <w:sz w:val="20"/>
          <w:szCs w:val="20"/>
        </w:rPr>
        <w:t>If an Eligible Project includes an Eligible Use of property acquisition, then eligible due diligence costs incurred after the application deadline submission date to KAED may qualify as matching funds should a KPDI funding award occur.</w:t>
      </w:r>
    </w:p>
    <w:p w14:paraId="23D5B2E2" w14:textId="77777777" w:rsidR="000E15D1" w:rsidRDefault="000E15D1" w:rsidP="00D3722B">
      <w:pPr>
        <w:spacing w:after="100"/>
        <w:ind w:left="-360"/>
        <w:rPr>
          <w:rFonts w:ascii="Arial Narrow" w:hAnsi="Arial Narrow"/>
          <w:b/>
          <w:bCs/>
          <w:color w:val="003865"/>
          <w:sz w:val="28"/>
          <w:szCs w:val="28"/>
        </w:rPr>
      </w:pPr>
    </w:p>
    <w:p w14:paraId="6B877A74" w14:textId="10E86E74" w:rsidR="00D3722B" w:rsidRDefault="00D3722B" w:rsidP="00D3722B">
      <w:pPr>
        <w:spacing w:after="100"/>
        <w:ind w:left="-360"/>
        <w:rPr>
          <w:rFonts w:ascii="Arial" w:hAnsi="Arial" w:cs="Arial"/>
          <w:sz w:val="20"/>
          <w:szCs w:val="20"/>
        </w:rPr>
      </w:pPr>
      <w:r w:rsidRPr="00A4369C">
        <w:rPr>
          <w:rFonts w:ascii="Arial Narrow" w:hAnsi="Arial Narrow"/>
          <w:b/>
          <w:bCs/>
          <w:color w:val="003865"/>
          <w:sz w:val="28"/>
          <w:szCs w:val="28"/>
        </w:rPr>
        <w:t>If</w:t>
      </w:r>
      <w:r w:rsidR="008705F2">
        <w:rPr>
          <w:rFonts w:ascii="Arial Narrow" w:hAnsi="Arial Narrow"/>
          <w:b/>
          <w:bCs/>
          <w:color w:val="003865"/>
          <w:sz w:val="28"/>
          <w:szCs w:val="28"/>
        </w:rPr>
        <w:t xml:space="preserve"> the cost of land</w:t>
      </w:r>
      <w:r w:rsidR="00585E29">
        <w:rPr>
          <w:rFonts w:ascii="Arial Narrow" w:hAnsi="Arial Narrow"/>
          <w:b/>
          <w:bCs/>
          <w:color w:val="003865"/>
          <w:sz w:val="28"/>
          <w:szCs w:val="28"/>
        </w:rPr>
        <w:t xml:space="preserve"> </w:t>
      </w:r>
      <w:r w:rsidRPr="00A4369C">
        <w:rPr>
          <w:rFonts w:ascii="Arial Narrow" w:hAnsi="Arial Narrow"/>
          <w:b/>
          <w:bCs/>
          <w:color w:val="003865"/>
          <w:sz w:val="28"/>
          <w:szCs w:val="28"/>
        </w:rPr>
        <w:t>is more than what KPDI can contribute, will the program still contribute if other third parties agree to fund the difference (capital stack)</w:t>
      </w:r>
      <w:r w:rsidRPr="00292347">
        <w:rPr>
          <w:rFonts w:ascii="Arial Narrow" w:hAnsi="Arial Narrow"/>
          <w:b/>
          <w:bCs/>
          <w:color w:val="003865"/>
          <w:sz w:val="28"/>
          <w:szCs w:val="28"/>
        </w:rPr>
        <w:t>?</w:t>
      </w:r>
    </w:p>
    <w:p w14:paraId="35E0968C" w14:textId="3FE2161B" w:rsidR="00D3722B" w:rsidRDefault="000A251E" w:rsidP="000505A9">
      <w:pPr>
        <w:spacing w:after="100"/>
        <w:ind w:left="-360"/>
        <w:rPr>
          <w:rFonts w:ascii="Arial Narrow" w:hAnsi="Arial Narrow"/>
          <w:b/>
          <w:bCs/>
          <w:color w:val="003865"/>
          <w:sz w:val="28"/>
          <w:szCs w:val="28"/>
        </w:rPr>
      </w:pPr>
      <w:r>
        <w:rPr>
          <w:rFonts w:ascii="Arial" w:hAnsi="Arial" w:cs="Arial"/>
          <w:sz w:val="20"/>
          <w:szCs w:val="20"/>
        </w:rPr>
        <w:t>Yes</w:t>
      </w:r>
      <w:r w:rsidR="00FE0291">
        <w:rPr>
          <w:rFonts w:ascii="Arial" w:hAnsi="Arial" w:cs="Arial"/>
          <w:sz w:val="20"/>
          <w:szCs w:val="20"/>
        </w:rPr>
        <w:t>.</w:t>
      </w:r>
      <w:r>
        <w:rPr>
          <w:rFonts w:ascii="Arial" w:hAnsi="Arial" w:cs="Arial"/>
          <w:sz w:val="20"/>
          <w:szCs w:val="20"/>
        </w:rPr>
        <w:t xml:space="preserve"> </w:t>
      </w:r>
      <w:r w:rsidR="00D3722B" w:rsidRPr="00A4369C">
        <w:rPr>
          <w:rFonts w:ascii="Arial" w:hAnsi="Arial" w:cs="Arial"/>
          <w:sz w:val="20"/>
          <w:szCs w:val="20"/>
        </w:rPr>
        <w:t>KPDI may fund up to 50% of the total project costs</w:t>
      </w:r>
      <w:r w:rsidR="008705F2">
        <w:rPr>
          <w:rFonts w:ascii="Arial" w:hAnsi="Arial" w:cs="Arial"/>
          <w:sz w:val="20"/>
          <w:szCs w:val="20"/>
        </w:rPr>
        <w:t xml:space="preserve">, subject to the </w:t>
      </w:r>
      <w:r>
        <w:rPr>
          <w:rFonts w:ascii="Arial" w:hAnsi="Arial" w:cs="Arial"/>
          <w:sz w:val="20"/>
          <w:szCs w:val="20"/>
        </w:rPr>
        <w:t xml:space="preserve">maximum funding </w:t>
      </w:r>
      <w:r w:rsidR="008705F2">
        <w:rPr>
          <w:rFonts w:ascii="Arial" w:hAnsi="Arial" w:cs="Arial"/>
          <w:sz w:val="20"/>
          <w:szCs w:val="20"/>
        </w:rPr>
        <w:t>limitation</w:t>
      </w:r>
      <w:r w:rsidR="000E7FA7">
        <w:rPr>
          <w:rFonts w:ascii="Arial" w:hAnsi="Arial" w:cs="Arial"/>
          <w:sz w:val="20"/>
          <w:szCs w:val="20"/>
        </w:rPr>
        <w:t>s</w:t>
      </w:r>
      <w:r w:rsidR="008705F2">
        <w:rPr>
          <w:rFonts w:ascii="Arial" w:hAnsi="Arial" w:cs="Arial"/>
          <w:sz w:val="20"/>
          <w:szCs w:val="20"/>
        </w:rPr>
        <w:t xml:space="preserve"> outline</w:t>
      </w:r>
      <w:r>
        <w:rPr>
          <w:rFonts w:ascii="Arial" w:hAnsi="Arial" w:cs="Arial"/>
          <w:sz w:val="20"/>
          <w:szCs w:val="20"/>
        </w:rPr>
        <w:t>d</w:t>
      </w:r>
      <w:r w:rsidR="008705F2">
        <w:rPr>
          <w:rFonts w:ascii="Arial" w:hAnsi="Arial" w:cs="Arial"/>
          <w:sz w:val="20"/>
          <w:szCs w:val="20"/>
        </w:rPr>
        <w:t xml:space="preserve"> above</w:t>
      </w:r>
      <w:r w:rsidR="00585E29">
        <w:rPr>
          <w:rFonts w:ascii="Arial" w:hAnsi="Arial" w:cs="Arial"/>
          <w:sz w:val="20"/>
          <w:szCs w:val="20"/>
        </w:rPr>
        <w:t>.</w:t>
      </w:r>
      <w:r w:rsidR="00D3722B" w:rsidRPr="00A31E56">
        <w:rPr>
          <w:rFonts w:ascii="Arial" w:hAnsi="Arial" w:cs="Arial"/>
          <w:sz w:val="20"/>
          <w:szCs w:val="20"/>
        </w:rPr>
        <w:br/>
      </w:r>
    </w:p>
    <w:p w14:paraId="04B7DD2B" w14:textId="69098A56" w:rsidR="000505A9" w:rsidRDefault="00870EF9" w:rsidP="000505A9">
      <w:pPr>
        <w:spacing w:after="100"/>
        <w:ind w:left="-360"/>
        <w:rPr>
          <w:rFonts w:ascii="Arial" w:hAnsi="Arial" w:cs="Arial"/>
          <w:sz w:val="20"/>
          <w:szCs w:val="20"/>
        </w:rPr>
      </w:pPr>
      <w:r w:rsidRPr="00292347">
        <w:rPr>
          <w:rFonts w:ascii="Arial Narrow" w:hAnsi="Arial Narrow"/>
          <w:b/>
          <w:bCs/>
          <w:color w:val="003865"/>
          <w:sz w:val="28"/>
          <w:szCs w:val="28"/>
        </w:rPr>
        <w:t xml:space="preserve">What is </w:t>
      </w:r>
      <w:r w:rsidR="000505A9">
        <w:rPr>
          <w:rFonts w:ascii="Arial Narrow" w:hAnsi="Arial Narrow"/>
          <w:b/>
          <w:bCs/>
          <w:color w:val="003865"/>
          <w:sz w:val="28"/>
          <w:szCs w:val="28"/>
        </w:rPr>
        <w:t>considered an eligible “</w:t>
      </w:r>
      <w:r w:rsidR="004D12B3">
        <w:rPr>
          <w:rFonts w:ascii="Arial Narrow" w:hAnsi="Arial Narrow"/>
          <w:b/>
          <w:bCs/>
          <w:color w:val="003865"/>
          <w:sz w:val="28"/>
          <w:szCs w:val="28"/>
        </w:rPr>
        <w:t xml:space="preserve">Local </w:t>
      </w:r>
      <w:r w:rsidR="000505A9">
        <w:rPr>
          <w:rFonts w:ascii="Arial Narrow" w:hAnsi="Arial Narrow"/>
          <w:b/>
          <w:bCs/>
          <w:color w:val="003865"/>
          <w:sz w:val="28"/>
          <w:szCs w:val="28"/>
        </w:rPr>
        <w:t>Match</w:t>
      </w:r>
      <w:r w:rsidR="004D12B3">
        <w:rPr>
          <w:rFonts w:ascii="Arial Narrow" w:hAnsi="Arial Narrow"/>
          <w:b/>
          <w:bCs/>
          <w:color w:val="003865"/>
          <w:sz w:val="28"/>
          <w:szCs w:val="28"/>
        </w:rPr>
        <w:t>?</w:t>
      </w:r>
      <w:r w:rsidR="000505A9">
        <w:rPr>
          <w:rFonts w:ascii="Arial Narrow" w:hAnsi="Arial Narrow"/>
          <w:b/>
          <w:bCs/>
          <w:color w:val="003865"/>
          <w:sz w:val="28"/>
          <w:szCs w:val="28"/>
        </w:rPr>
        <w:t>”</w:t>
      </w:r>
    </w:p>
    <w:p w14:paraId="4E8E9FA2" w14:textId="59C75017" w:rsidR="00870EF9" w:rsidRPr="00A31E56" w:rsidRDefault="004D12B3" w:rsidP="000505A9">
      <w:pPr>
        <w:spacing w:after="100"/>
        <w:ind w:left="-360"/>
        <w:rPr>
          <w:rFonts w:ascii="Arial" w:hAnsi="Arial" w:cs="Arial"/>
          <w:sz w:val="20"/>
          <w:szCs w:val="20"/>
        </w:rPr>
      </w:pPr>
      <w:r>
        <w:rPr>
          <w:rFonts w:ascii="Arial" w:hAnsi="Arial" w:cs="Arial"/>
          <w:sz w:val="20"/>
          <w:szCs w:val="20"/>
        </w:rPr>
        <w:t>Funding may be provided from local governments, companies, organizations,</w:t>
      </w:r>
      <w:r w:rsidR="00EB31F3">
        <w:rPr>
          <w:rFonts w:ascii="Arial" w:hAnsi="Arial" w:cs="Arial"/>
          <w:sz w:val="20"/>
          <w:szCs w:val="20"/>
        </w:rPr>
        <w:t xml:space="preserve"> utilities,</w:t>
      </w:r>
      <w:r>
        <w:rPr>
          <w:rFonts w:ascii="Arial" w:hAnsi="Arial" w:cs="Arial"/>
          <w:sz w:val="20"/>
          <w:szCs w:val="20"/>
        </w:rPr>
        <w:t xml:space="preserve"> non-profits, federal funds, etc. to assist with the project costs.</w:t>
      </w:r>
      <w:r w:rsidR="00870EF9" w:rsidRPr="00415EC4">
        <w:rPr>
          <w:rFonts w:ascii="Arial" w:hAnsi="Arial" w:cs="Arial"/>
          <w:sz w:val="20"/>
          <w:szCs w:val="20"/>
        </w:rPr>
        <w:t xml:space="preserve">  </w:t>
      </w:r>
      <w:r>
        <w:rPr>
          <w:rFonts w:ascii="Arial" w:hAnsi="Arial" w:cs="Arial"/>
          <w:sz w:val="20"/>
          <w:szCs w:val="20"/>
        </w:rPr>
        <w:t>I</w:t>
      </w:r>
      <w:r w:rsidR="00FF6DBF" w:rsidRPr="00FF6DBF">
        <w:rPr>
          <w:rFonts w:ascii="Arial" w:hAnsi="Arial" w:cs="Arial"/>
          <w:sz w:val="20"/>
          <w:szCs w:val="20"/>
        </w:rPr>
        <w:t>n-kind services are not permissible for matching funds or disbursement requests.</w:t>
      </w:r>
    </w:p>
    <w:p w14:paraId="01D81062" w14:textId="38AA7D5A" w:rsidR="00D3722B" w:rsidRDefault="00D3722B" w:rsidP="00D3722B">
      <w:pPr>
        <w:spacing w:after="100"/>
        <w:ind w:left="-360"/>
        <w:rPr>
          <w:rFonts w:ascii="Arial Narrow" w:hAnsi="Arial Narrow"/>
          <w:b/>
          <w:bCs/>
          <w:color w:val="003865"/>
          <w:sz w:val="28"/>
          <w:szCs w:val="28"/>
        </w:rPr>
      </w:pPr>
    </w:p>
    <w:p w14:paraId="63231CE3" w14:textId="713E2459" w:rsidR="004D12B3" w:rsidRDefault="001B7122" w:rsidP="004D12B3">
      <w:pPr>
        <w:spacing w:after="100"/>
        <w:ind w:left="-360"/>
        <w:rPr>
          <w:rFonts w:ascii="Arial" w:hAnsi="Arial" w:cs="Arial"/>
          <w:sz w:val="20"/>
          <w:szCs w:val="20"/>
        </w:rPr>
      </w:pPr>
      <w:r>
        <w:rPr>
          <w:rFonts w:ascii="Arial Narrow" w:hAnsi="Arial Narrow"/>
          <w:b/>
          <w:bCs/>
          <w:color w:val="003865"/>
          <w:sz w:val="28"/>
          <w:szCs w:val="28"/>
        </w:rPr>
        <w:t xml:space="preserve">Are TVA in lieu of funds, Coal Severance Grant Funds, </w:t>
      </w:r>
      <w:r w:rsidR="00BD003B">
        <w:rPr>
          <w:rFonts w:ascii="Arial Narrow" w:hAnsi="Arial Narrow"/>
          <w:b/>
          <w:bCs/>
          <w:color w:val="003865"/>
          <w:sz w:val="28"/>
          <w:szCs w:val="28"/>
        </w:rPr>
        <w:t xml:space="preserve">ARPA, </w:t>
      </w:r>
      <w:r>
        <w:rPr>
          <w:rFonts w:ascii="Arial Narrow" w:hAnsi="Arial Narrow"/>
          <w:b/>
          <w:bCs/>
          <w:color w:val="003865"/>
          <w:sz w:val="28"/>
          <w:szCs w:val="28"/>
        </w:rPr>
        <w:t>CDBG</w:t>
      </w:r>
      <w:r w:rsidR="00EB31F3">
        <w:rPr>
          <w:rFonts w:ascii="Arial Narrow" w:hAnsi="Arial Narrow"/>
          <w:b/>
          <w:bCs/>
          <w:color w:val="003865"/>
          <w:sz w:val="28"/>
          <w:szCs w:val="28"/>
        </w:rPr>
        <w:t xml:space="preserve"> or other grant funds held by the local government eligible for the “Local </w:t>
      </w:r>
      <w:r w:rsidR="004D12B3">
        <w:rPr>
          <w:rFonts w:ascii="Arial Narrow" w:hAnsi="Arial Narrow"/>
          <w:b/>
          <w:bCs/>
          <w:color w:val="003865"/>
          <w:sz w:val="28"/>
          <w:szCs w:val="28"/>
        </w:rPr>
        <w:t>Match</w:t>
      </w:r>
      <w:r w:rsidR="00EB31F3">
        <w:rPr>
          <w:rFonts w:ascii="Arial Narrow" w:hAnsi="Arial Narrow"/>
          <w:b/>
          <w:bCs/>
          <w:color w:val="003865"/>
          <w:sz w:val="28"/>
          <w:szCs w:val="28"/>
        </w:rPr>
        <w:t>?</w:t>
      </w:r>
      <w:r w:rsidR="004D12B3">
        <w:rPr>
          <w:rFonts w:ascii="Arial Narrow" w:hAnsi="Arial Narrow"/>
          <w:b/>
          <w:bCs/>
          <w:color w:val="003865"/>
          <w:sz w:val="28"/>
          <w:szCs w:val="28"/>
        </w:rPr>
        <w:t>”</w:t>
      </w:r>
    </w:p>
    <w:p w14:paraId="4917B45C" w14:textId="5F76EBF7" w:rsidR="00EB31F3" w:rsidRDefault="00EB31F3" w:rsidP="004D12B3">
      <w:pPr>
        <w:spacing w:after="100"/>
        <w:ind w:left="-360"/>
        <w:rPr>
          <w:rFonts w:ascii="Arial" w:hAnsi="Arial" w:cs="Arial"/>
          <w:sz w:val="20"/>
          <w:szCs w:val="20"/>
        </w:rPr>
      </w:pPr>
      <w:r>
        <w:rPr>
          <w:rFonts w:ascii="Arial" w:hAnsi="Arial" w:cs="Arial"/>
          <w:sz w:val="20"/>
          <w:szCs w:val="20"/>
        </w:rPr>
        <w:t>Yes,</w:t>
      </w:r>
      <w:r w:rsidR="004D12B3">
        <w:rPr>
          <w:rFonts w:ascii="Arial" w:hAnsi="Arial" w:cs="Arial"/>
          <w:sz w:val="20"/>
          <w:szCs w:val="20"/>
        </w:rPr>
        <w:t xml:space="preserve"> </w:t>
      </w:r>
      <w:proofErr w:type="gramStart"/>
      <w:r w:rsidR="004D12B3">
        <w:rPr>
          <w:rFonts w:ascii="Arial" w:hAnsi="Arial" w:cs="Arial"/>
          <w:sz w:val="20"/>
          <w:szCs w:val="20"/>
        </w:rPr>
        <w:t>as</w:t>
      </w:r>
      <w:r w:rsidR="004D12B3" w:rsidRPr="000505A9">
        <w:rPr>
          <w:rFonts w:ascii="Arial" w:hAnsi="Arial" w:cs="Arial"/>
          <w:sz w:val="20"/>
          <w:szCs w:val="20"/>
        </w:rPr>
        <w:t xml:space="preserve"> </w:t>
      </w:r>
      <w:r>
        <w:rPr>
          <w:rFonts w:ascii="Arial" w:hAnsi="Arial" w:cs="Arial"/>
          <w:sz w:val="20"/>
          <w:szCs w:val="20"/>
        </w:rPr>
        <w:t>long as</w:t>
      </w:r>
      <w:proofErr w:type="gramEnd"/>
      <w:r>
        <w:rPr>
          <w:rFonts w:ascii="Arial" w:hAnsi="Arial" w:cs="Arial"/>
          <w:sz w:val="20"/>
          <w:szCs w:val="20"/>
        </w:rPr>
        <w:t xml:space="preserve"> </w:t>
      </w:r>
      <w:r w:rsidR="004D12B3" w:rsidRPr="000505A9">
        <w:rPr>
          <w:rFonts w:ascii="Arial" w:hAnsi="Arial" w:cs="Arial"/>
          <w:sz w:val="20"/>
          <w:szCs w:val="20"/>
        </w:rPr>
        <w:t xml:space="preserve">the </w:t>
      </w:r>
      <w:r w:rsidR="008705F2">
        <w:rPr>
          <w:rFonts w:ascii="Arial" w:hAnsi="Arial" w:cs="Arial"/>
          <w:sz w:val="20"/>
          <w:szCs w:val="20"/>
        </w:rPr>
        <w:t xml:space="preserve">applicant </w:t>
      </w:r>
      <w:r w:rsidR="004D12B3" w:rsidRPr="000505A9">
        <w:rPr>
          <w:rFonts w:ascii="Arial" w:hAnsi="Arial" w:cs="Arial"/>
          <w:sz w:val="20"/>
          <w:szCs w:val="20"/>
        </w:rPr>
        <w:t xml:space="preserve">can demonstrate that the matching funds </w:t>
      </w:r>
      <w:r>
        <w:rPr>
          <w:rFonts w:ascii="Arial" w:hAnsi="Arial" w:cs="Arial"/>
          <w:sz w:val="20"/>
          <w:szCs w:val="20"/>
        </w:rPr>
        <w:t>meet all of the following:</w:t>
      </w:r>
    </w:p>
    <w:p w14:paraId="19F48A4E" w14:textId="2D84D8E2" w:rsidR="00EB31F3" w:rsidRDefault="004D12B3" w:rsidP="00EB31F3">
      <w:pPr>
        <w:spacing w:after="100"/>
        <w:ind w:left="-360" w:firstLine="1080"/>
        <w:rPr>
          <w:rFonts w:ascii="Arial" w:hAnsi="Arial" w:cs="Arial"/>
          <w:sz w:val="20"/>
          <w:szCs w:val="20"/>
        </w:rPr>
      </w:pPr>
      <w:r w:rsidRPr="000505A9">
        <w:rPr>
          <w:rFonts w:ascii="Arial" w:hAnsi="Arial" w:cs="Arial"/>
          <w:sz w:val="20"/>
          <w:szCs w:val="20"/>
        </w:rPr>
        <w:t xml:space="preserve">(1) </w:t>
      </w:r>
      <w:r w:rsidR="00EB31F3">
        <w:rPr>
          <w:rFonts w:ascii="Arial" w:hAnsi="Arial" w:cs="Arial"/>
          <w:sz w:val="20"/>
          <w:szCs w:val="20"/>
        </w:rPr>
        <w:t>F</w:t>
      </w:r>
      <w:r w:rsidRPr="000505A9">
        <w:rPr>
          <w:rFonts w:ascii="Arial" w:hAnsi="Arial" w:cs="Arial"/>
          <w:sz w:val="20"/>
          <w:szCs w:val="20"/>
        </w:rPr>
        <w:t xml:space="preserve">unds may be used at the discretion of the applicant </w:t>
      </w:r>
    </w:p>
    <w:p w14:paraId="6219C24D" w14:textId="77777777" w:rsidR="00EB31F3" w:rsidRDefault="004D12B3" w:rsidP="00EB31F3">
      <w:pPr>
        <w:spacing w:after="100"/>
        <w:ind w:left="-360" w:firstLine="1080"/>
        <w:rPr>
          <w:rFonts w:ascii="Arial" w:hAnsi="Arial" w:cs="Arial"/>
          <w:sz w:val="20"/>
          <w:szCs w:val="20"/>
        </w:rPr>
      </w:pPr>
      <w:r w:rsidRPr="000505A9">
        <w:rPr>
          <w:rFonts w:ascii="Arial" w:hAnsi="Arial" w:cs="Arial"/>
          <w:sz w:val="20"/>
          <w:szCs w:val="20"/>
        </w:rPr>
        <w:t xml:space="preserve">(2) </w:t>
      </w:r>
      <w:r w:rsidR="00EB31F3">
        <w:rPr>
          <w:rFonts w:ascii="Arial" w:hAnsi="Arial" w:cs="Arial"/>
          <w:sz w:val="20"/>
          <w:szCs w:val="20"/>
        </w:rPr>
        <w:t>F</w:t>
      </w:r>
      <w:r w:rsidRPr="000505A9">
        <w:rPr>
          <w:rFonts w:ascii="Arial" w:hAnsi="Arial" w:cs="Arial"/>
          <w:sz w:val="20"/>
          <w:szCs w:val="20"/>
        </w:rPr>
        <w:t>unds are available</w:t>
      </w:r>
    </w:p>
    <w:p w14:paraId="3406293C" w14:textId="77777777" w:rsidR="00EB31F3" w:rsidRDefault="004D12B3" w:rsidP="00EB31F3">
      <w:pPr>
        <w:spacing w:after="100"/>
        <w:ind w:left="-360" w:firstLine="1080"/>
        <w:rPr>
          <w:rFonts w:ascii="Arial" w:hAnsi="Arial" w:cs="Arial"/>
          <w:sz w:val="20"/>
          <w:szCs w:val="20"/>
        </w:rPr>
      </w:pPr>
      <w:r w:rsidRPr="000505A9">
        <w:rPr>
          <w:rFonts w:ascii="Arial" w:hAnsi="Arial" w:cs="Arial"/>
          <w:sz w:val="20"/>
          <w:szCs w:val="20"/>
        </w:rPr>
        <w:t xml:space="preserve">(3) </w:t>
      </w:r>
      <w:r w:rsidR="00EB31F3">
        <w:rPr>
          <w:rFonts w:ascii="Arial" w:hAnsi="Arial" w:cs="Arial"/>
          <w:sz w:val="20"/>
          <w:szCs w:val="20"/>
        </w:rPr>
        <w:t>F</w:t>
      </w:r>
      <w:r w:rsidRPr="000505A9">
        <w:rPr>
          <w:rFonts w:ascii="Arial" w:hAnsi="Arial" w:cs="Arial"/>
          <w:sz w:val="20"/>
          <w:szCs w:val="20"/>
        </w:rPr>
        <w:t>unds are permitted for such use.</w:t>
      </w:r>
      <w:r w:rsidRPr="00415EC4">
        <w:rPr>
          <w:rFonts w:ascii="Arial" w:hAnsi="Arial" w:cs="Arial"/>
          <w:sz w:val="20"/>
          <w:szCs w:val="20"/>
        </w:rPr>
        <w:t xml:space="preserve">  </w:t>
      </w:r>
      <w:r>
        <w:rPr>
          <w:rFonts w:ascii="Arial" w:hAnsi="Arial" w:cs="Arial"/>
          <w:sz w:val="20"/>
          <w:szCs w:val="20"/>
        </w:rPr>
        <w:t xml:space="preserve"> </w:t>
      </w:r>
    </w:p>
    <w:p w14:paraId="55182A4C" w14:textId="29B586EE" w:rsidR="004D12B3" w:rsidRPr="00A31E56" w:rsidRDefault="004D12B3" w:rsidP="00EB31F3">
      <w:pPr>
        <w:spacing w:after="100"/>
        <w:ind w:left="-360"/>
        <w:rPr>
          <w:rFonts w:ascii="Arial" w:hAnsi="Arial" w:cs="Arial"/>
          <w:sz w:val="20"/>
          <w:szCs w:val="20"/>
        </w:rPr>
      </w:pPr>
      <w:r w:rsidRPr="00FF6DBF">
        <w:rPr>
          <w:rFonts w:ascii="Arial" w:hAnsi="Arial" w:cs="Arial"/>
          <w:sz w:val="20"/>
          <w:szCs w:val="20"/>
        </w:rPr>
        <w:t>Eligible Projects will be required to provide invoices and proof of payment for the</w:t>
      </w:r>
      <w:r>
        <w:rPr>
          <w:rFonts w:ascii="Arial" w:hAnsi="Arial" w:cs="Arial"/>
          <w:sz w:val="20"/>
          <w:szCs w:val="20"/>
        </w:rPr>
        <w:t xml:space="preserve"> </w:t>
      </w:r>
      <w:r w:rsidRPr="00FF6DBF">
        <w:rPr>
          <w:rFonts w:ascii="Arial" w:hAnsi="Arial" w:cs="Arial"/>
          <w:sz w:val="20"/>
          <w:szCs w:val="20"/>
        </w:rPr>
        <w:t>expenditures and investment incurred.  Thus, in-kind services are not permissible for matching funds or disbursement requests.</w:t>
      </w:r>
    </w:p>
    <w:p w14:paraId="268BFAD9" w14:textId="77777777" w:rsidR="004D12B3" w:rsidRDefault="004D12B3" w:rsidP="00D3722B">
      <w:pPr>
        <w:spacing w:after="100"/>
        <w:ind w:left="-360"/>
        <w:rPr>
          <w:rFonts w:ascii="Arial Narrow" w:hAnsi="Arial Narrow"/>
          <w:b/>
          <w:bCs/>
          <w:color w:val="003865"/>
          <w:sz w:val="28"/>
          <w:szCs w:val="28"/>
        </w:rPr>
      </w:pPr>
    </w:p>
    <w:p w14:paraId="1E123C0C" w14:textId="03FC51BA" w:rsidR="00D3722B" w:rsidRDefault="00D3722B" w:rsidP="00D3722B">
      <w:pPr>
        <w:spacing w:after="100"/>
        <w:ind w:left="-360"/>
        <w:rPr>
          <w:rFonts w:ascii="Arial" w:hAnsi="Arial" w:cs="Arial"/>
          <w:sz w:val="20"/>
          <w:szCs w:val="20"/>
        </w:rPr>
      </w:pPr>
      <w:r w:rsidRPr="00761515">
        <w:rPr>
          <w:rFonts w:ascii="Arial Narrow" w:hAnsi="Arial Narrow"/>
          <w:b/>
          <w:bCs/>
          <w:color w:val="003865"/>
          <w:sz w:val="28"/>
          <w:szCs w:val="28"/>
        </w:rPr>
        <w:t xml:space="preserve">What are the best partnerships for the local match? Do those partnerships need to be in place before the application? </w:t>
      </w:r>
    </w:p>
    <w:p w14:paraId="3C96495D" w14:textId="70473A9E" w:rsidR="00D3722B" w:rsidRPr="000505A9" w:rsidRDefault="00D3722B" w:rsidP="00D3722B">
      <w:pPr>
        <w:spacing w:after="100"/>
        <w:ind w:left="-360"/>
        <w:rPr>
          <w:rFonts w:ascii="Arial" w:hAnsi="Arial" w:cs="Arial"/>
          <w:sz w:val="20"/>
          <w:szCs w:val="20"/>
        </w:rPr>
      </w:pPr>
      <w:r w:rsidRPr="00761515">
        <w:rPr>
          <w:rFonts w:ascii="Arial" w:hAnsi="Arial" w:cs="Arial"/>
          <w:sz w:val="20"/>
          <w:szCs w:val="20"/>
        </w:rPr>
        <w:t xml:space="preserve">Communities are encouraged to have a letter of commitment for the funds to have a stronger application. </w:t>
      </w:r>
      <w:r>
        <w:rPr>
          <w:rFonts w:ascii="Arial" w:hAnsi="Arial" w:cs="Arial"/>
          <w:sz w:val="20"/>
          <w:szCs w:val="20"/>
        </w:rPr>
        <w:t xml:space="preserve">Area Development Districts, </w:t>
      </w:r>
      <w:r w:rsidR="00354A16">
        <w:rPr>
          <w:rFonts w:ascii="Arial" w:hAnsi="Arial" w:cs="Arial"/>
          <w:sz w:val="20"/>
          <w:szCs w:val="20"/>
        </w:rPr>
        <w:t>u</w:t>
      </w:r>
      <w:r w:rsidRPr="00761515">
        <w:rPr>
          <w:rFonts w:ascii="Arial" w:hAnsi="Arial" w:cs="Arial"/>
          <w:sz w:val="20"/>
          <w:szCs w:val="20"/>
        </w:rPr>
        <w:t>tilities</w:t>
      </w:r>
      <w:r w:rsidR="00585E29">
        <w:rPr>
          <w:rFonts w:ascii="Arial" w:hAnsi="Arial" w:cs="Arial"/>
          <w:sz w:val="20"/>
          <w:szCs w:val="20"/>
        </w:rPr>
        <w:t>, rail providers, riverports</w:t>
      </w:r>
      <w:r w:rsidRPr="00761515">
        <w:rPr>
          <w:rFonts w:ascii="Arial" w:hAnsi="Arial" w:cs="Arial"/>
          <w:sz w:val="20"/>
          <w:szCs w:val="20"/>
        </w:rPr>
        <w:t xml:space="preserve"> and local governments are encouraged to be considered for a partnership on the project.</w:t>
      </w:r>
      <w:r w:rsidRPr="00761515">
        <w:t xml:space="preserve"> </w:t>
      </w:r>
      <w:r w:rsidRPr="00761515">
        <w:rPr>
          <w:rFonts w:ascii="Arial" w:hAnsi="Arial" w:cs="Arial"/>
          <w:sz w:val="20"/>
          <w:szCs w:val="20"/>
        </w:rPr>
        <w:t xml:space="preserve">The </w:t>
      </w:r>
      <w:r>
        <w:rPr>
          <w:rFonts w:ascii="Arial" w:hAnsi="Arial" w:cs="Arial"/>
          <w:sz w:val="20"/>
          <w:szCs w:val="20"/>
        </w:rPr>
        <w:t xml:space="preserve">match </w:t>
      </w:r>
      <w:r w:rsidRPr="00761515">
        <w:rPr>
          <w:rFonts w:ascii="Arial" w:hAnsi="Arial" w:cs="Arial"/>
          <w:sz w:val="20"/>
          <w:szCs w:val="20"/>
        </w:rPr>
        <w:t xml:space="preserve">funding source should be identified </w:t>
      </w:r>
      <w:r w:rsidR="008705F2">
        <w:rPr>
          <w:rFonts w:ascii="Arial" w:hAnsi="Arial" w:cs="Arial"/>
          <w:sz w:val="20"/>
          <w:szCs w:val="20"/>
        </w:rPr>
        <w:t>as part of the</w:t>
      </w:r>
      <w:r w:rsidRPr="00761515">
        <w:rPr>
          <w:rFonts w:ascii="Arial" w:hAnsi="Arial" w:cs="Arial"/>
          <w:sz w:val="20"/>
          <w:szCs w:val="20"/>
        </w:rPr>
        <w:t xml:space="preserve"> </w:t>
      </w:r>
      <w:proofErr w:type="spellStart"/>
      <w:r w:rsidRPr="00761515">
        <w:rPr>
          <w:rFonts w:ascii="Arial" w:hAnsi="Arial" w:cs="Arial"/>
          <w:sz w:val="20"/>
          <w:szCs w:val="20"/>
        </w:rPr>
        <w:t>the</w:t>
      </w:r>
      <w:proofErr w:type="spellEnd"/>
      <w:r w:rsidRPr="00761515">
        <w:rPr>
          <w:rFonts w:ascii="Arial" w:hAnsi="Arial" w:cs="Arial"/>
          <w:sz w:val="20"/>
          <w:szCs w:val="20"/>
        </w:rPr>
        <w:t xml:space="preserve"> application. </w:t>
      </w:r>
      <w:r w:rsidRPr="000505A9">
        <w:rPr>
          <w:rFonts w:ascii="Arial" w:hAnsi="Arial" w:cs="Arial"/>
          <w:sz w:val="20"/>
          <w:szCs w:val="20"/>
        </w:rPr>
        <w:t xml:space="preserve">  </w:t>
      </w:r>
    </w:p>
    <w:p w14:paraId="508EE4F7" w14:textId="77777777" w:rsidR="00870EF9" w:rsidRPr="00BD003B" w:rsidRDefault="00870EF9" w:rsidP="00870EF9">
      <w:pPr>
        <w:pStyle w:val="ListParagraph"/>
        <w:ind w:left="1440"/>
        <w:rPr>
          <w:rFonts w:ascii="Arial" w:hAnsi="Arial" w:cs="Arial"/>
          <w:sz w:val="28"/>
          <w:szCs w:val="28"/>
        </w:rPr>
      </w:pPr>
    </w:p>
    <w:p w14:paraId="09CCDB54" w14:textId="77777777" w:rsidR="0008093C" w:rsidRDefault="0008093C" w:rsidP="0008093C">
      <w:pPr>
        <w:spacing w:after="100"/>
        <w:ind w:left="-360"/>
        <w:rPr>
          <w:rFonts w:ascii="Arial Narrow" w:hAnsi="Arial Narrow"/>
          <w:b/>
          <w:bCs/>
          <w:color w:val="003865"/>
          <w:sz w:val="28"/>
          <w:szCs w:val="28"/>
        </w:rPr>
      </w:pPr>
      <w:r w:rsidRPr="00A4369C">
        <w:rPr>
          <w:rFonts w:ascii="Arial Narrow" w:hAnsi="Arial Narrow"/>
          <w:b/>
          <w:bCs/>
          <w:color w:val="003865"/>
          <w:sz w:val="28"/>
          <w:szCs w:val="28"/>
        </w:rPr>
        <w:t xml:space="preserve">Can option payments </w:t>
      </w:r>
      <w:r>
        <w:rPr>
          <w:rFonts w:ascii="Arial Narrow" w:hAnsi="Arial Narrow"/>
          <w:b/>
          <w:bCs/>
          <w:color w:val="003865"/>
          <w:sz w:val="28"/>
          <w:szCs w:val="28"/>
        </w:rPr>
        <w:t xml:space="preserve">made </w:t>
      </w:r>
      <w:r w:rsidRPr="00A4369C">
        <w:rPr>
          <w:rFonts w:ascii="Arial Narrow" w:hAnsi="Arial Narrow"/>
          <w:b/>
          <w:bCs/>
          <w:color w:val="003865"/>
          <w:sz w:val="28"/>
          <w:szCs w:val="28"/>
        </w:rPr>
        <w:t>during the due diligence phase, count towards the match?</w:t>
      </w:r>
    </w:p>
    <w:p w14:paraId="1306DDDD" w14:textId="7D0E0B99" w:rsidR="0008093C" w:rsidRDefault="0008093C" w:rsidP="0008093C">
      <w:pPr>
        <w:ind w:left="-360"/>
        <w:rPr>
          <w:rFonts w:ascii="Arial Narrow" w:hAnsi="Arial Narrow"/>
          <w:b/>
          <w:bCs/>
          <w:color w:val="003865"/>
          <w:sz w:val="28"/>
          <w:szCs w:val="28"/>
        </w:rPr>
      </w:pPr>
      <w:r>
        <w:rPr>
          <w:rFonts w:ascii="Arial" w:hAnsi="Arial" w:cs="Arial"/>
          <w:sz w:val="20"/>
          <w:szCs w:val="20"/>
        </w:rPr>
        <w:t>No</w:t>
      </w:r>
      <w:r w:rsidR="00FE0291">
        <w:rPr>
          <w:rFonts w:ascii="Arial" w:hAnsi="Arial" w:cs="Arial"/>
          <w:sz w:val="20"/>
          <w:szCs w:val="20"/>
        </w:rPr>
        <w:t>.</w:t>
      </w:r>
    </w:p>
    <w:p w14:paraId="0B6C0AE5" w14:textId="77777777" w:rsidR="0008093C" w:rsidRDefault="0008093C" w:rsidP="00D3722B">
      <w:pPr>
        <w:spacing w:after="100"/>
        <w:ind w:left="-360"/>
        <w:rPr>
          <w:rFonts w:ascii="Arial Narrow" w:hAnsi="Arial Narrow"/>
          <w:b/>
          <w:bCs/>
          <w:color w:val="003865"/>
          <w:sz w:val="28"/>
          <w:szCs w:val="28"/>
        </w:rPr>
      </w:pPr>
    </w:p>
    <w:p w14:paraId="7DF43037" w14:textId="3993A0FE" w:rsidR="00D3722B" w:rsidRDefault="00354A16" w:rsidP="00D3722B">
      <w:pPr>
        <w:spacing w:after="100"/>
        <w:ind w:left="-360"/>
        <w:rPr>
          <w:rFonts w:ascii="Arial Narrow" w:hAnsi="Arial Narrow"/>
          <w:b/>
          <w:bCs/>
          <w:color w:val="003865"/>
          <w:sz w:val="28"/>
          <w:szCs w:val="28"/>
        </w:rPr>
      </w:pPr>
      <w:r>
        <w:rPr>
          <w:rFonts w:ascii="Arial Narrow" w:hAnsi="Arial Narrow"/>
          <w:b/>
          <w:bCs/>
          <w:color w:val="003865"/>
          <w:sz w:val="28"/>
          <w:szCs w:val="28"/>
        </w:rPr>
        <w:t>If</w:t>
      </w:r>
      <w:r w:rsidR="00D3722B">
        <w:rPr>
          <w:rFonts w:ascii="Arial Narrow" w:hAnsi="Arial Narrow"/>
          <w:b/>
          <w:bCs/>
          <w:color w:val="003865"/>
          <w:sz w:val="28"/>
          <w:szCs w:val="28"/>
        </w:rPr>
        <w:t xml:space="preserve"> an</w:t>
      </w:r>
      <w:r w:rsidR="008705F2">
        <w:rPr>
          <w:rFonts w:ascii="Arial Narrow" w:hAnsi="Arial Narrow"/>
          <w:b/>
          <w:bCs/>
          <w:color w:val="003865"/>
          <w:sz w:val="28"/>
          <w:szCs w:val="28"/>
        </w:rPr>
        <w:t xml:space="preserve"> Industrial Development Authority</w:t>
      </w:r>
      <w:r w:rsidR="00D3722B">
        <w:rPr>
          <w:rFonts w:ascii="Arial Narrow" w:hAnsi="Arial Narrow"/>
          <w:b/>
          <w:bCs/>
          <w:color w:val="003865"/>
          <w:sz w:val="28"/>
          <w:szCs w:val="28"/>
        </w:rPr>
        <w:t xml:space="preserve"> </w:t>
      </w:r>
      <w:r w:rsidR="008705F2">
        <w:rPr>
          <w:rFonts w:ascii="Arial Narrow" w:hAnsi="Arial Narrow"/>
          <w:b/>
          <w:bCs/>
          <w:color w:val="003865"/>
          <w:sz w:val="28"/>
          <w:szCs w:val="28"/>
        </w:rPr>
        <w:t>(</w:t>
      </w:r>
      <w:r w:rsidR="00D3722B">
        <w:rPr>
          <w:rFonts w:ascii="Arial Narrow" w:hAnsi="Arial Narrow"/>
          <w:b/>
          <w:bCs/>
          <w:color w:val="003865"/>
          <w:sz w:val="28"/>
          <w:szCs w:val="28"/>
        </w:rPr>
        <w:t>IDA</w:t>
      </w:r>
      <w:r w:rsidR="008705F2">
        <w:rPr>
          <w:rFonts w:ascii="Arial Narrow" w:hAnsi="Arial Narrow"/>
          <w:b/>
          <w:bCs/>
          <w:color w:val="003865"/>
          <w:sz w:val="28"/>
          <w:szCs w:val="28"/>
        </w:rPr>
        <w:t>)</w:t>
      </w:r>
      <w:r w:rsidR="00D3722B">
        <w:rPr>
          <w:rFonts w:ascii="Arial Narrow" w:hAnsi="Arial Narrow"/>
          <w:b/>
          <w:bCs/>
          <w:color w:val="003865"/>
          <w:sz w:val="28"/>
          <w:szCs w:val="28"/>
        </w:rPr>
        <w:t xml:space="preserve"> </w:t>
      </w:r>
      <w:r w:rsidR="00D3722B" w:rsidRPr="003F3F4D">
        <w:rPr>
          <w:rFonts w:ascii="Arial Narrow" w:hAnsi="Arial Narrow"/>
          <w:b/>
          <w:bCs/>
          <w:color w:val="003865"/>
          <w:sz w:val="28"/>
          <w:szCs w:val="28"/>
        </w:rPr>
        <w:t>appl</w:t>
      </w:r>
      <w:r>
        <w:rPr>
          <w:rFonts w:ascii="Arial Narrow" w:hAnsi="Arial Narrow"/>
          <w:b/>
          <w:bCs/>
          <w:color w:val="003865"/>
          <w:sz w:val="28"/>
          <w:szCs w:val="28"/>
        </w:rPr>
        <w:t>ies</w:t>
      </w:r>
      <w:r w:rsidR="00D3722B" w:rsidRPr="003F3F4D">
        <w:rPr>
          <w:rFonts w:ascii="Arial Narrow" w:hAnsi="Arial Narrow"/>
          <w:b/>
          <w:bCs/>
          <w:color w:val="003865"/>
          <w:sz w:val="28"/>
          <w:szCs w:val="28"/>
        </w:rPr>
        <w:t xml:space="preserve"> for </w:t>
      </w:r>
      <w:r>
        <w:rPr>
          <w:rFonts w:ascii="Arial Narrow" w:hAnsi="Arial Narrow"/>
          <w:b/>
          <w:bCs/>
          <w:color w:val="003865"/>
          <w:sz w:val="28"/>
          <w:szCs w:val="28"/>
        </w:rPr>
        <w:t>K</w:t>
      </w:r>
      <w:r w:rsidR="00D3722B" w:rsidRPr="003F3F4D">
        <w:rPr>
          <w:rFonts w:ascii="Arial Narrow" w:hAnsi="Arial Narrow"/>
          <w:b/>
          <w:bCs/>
          <w:color w:val="003865"/>
          <w:sz w:val="28"/>
          <w:szCs w:val="28"/>
        </w:rPr>
        <w:t>PDI to cover expenses related to due diligence, engineering</w:t>
      </w:r>
      <w:r>
        <w:rPr>
          <w:rFonts w:ascii="Arial Narrow" w:hAnsi="Arial Narrow"/>
          <w:b/>
          <w:bCs/>
          <w:color w:val="003865"/>
          <w:sz w:val="28"/>
          <w:szCs w:val="28"/>
        </w:rPr>
        <w:t xml:space="preserve">, </w:t>
      </w:r>
      <w:r w:rsidR="00D3722B" w:rsidRPr="003F3F4D">
        <w:rPr>
          <w:rFonts w:ascii="Arial Narrow" w:hAnsi="Arial Narrow"/>
          <w:b/>
          <w:bCs/>
          <w:color w:val="003865"/>
          <w:sz w:val="28"/>
          <w:szCs w:val="28"/>
        </w:rPr>
        <w:t xml:space="preserve">design, and a small amount of infrastructure upgrade, could purchasing the land be </w:t>
      </w:r>
      <w:r>
        <w:rPr>
          <w:rFonts w:ascii="Arial Narrow" w:hAnsi="Arial Narrow"/>
          <w:b/>
          <w:bCs/>
          <w:color w:val="003865"/>
          <w:sz w:val="28"/>
          <w:szCs w:val="28"/>
        </w:rPr>
        <w:t>the IDA’s</w:t>
      </w:r>
      <w:r w:rsidR="00D3722B" w:rsidRPr="003F3F4D">
        <w:rPr>
          <w:rFonts w:ascii="Arial Narrow" w:hAnsi="Arial Narrow"/>
          <w:b/>
          <w:bCs/>
          <w:color w:val="003865"/>
          <w:sz w:val="28"/>
          <w:szCs w:val="28"/>
        </w:rPr>
        <w:t xml:space="preserve"> dollar-for-dollar match? </w:t>
      </w:r>
    </w:p>
    <w:p w14:paraId="1BEAB5D4" w14:textId="52C8803E" w:rsidR="00D3722B" w:rsidRPr="00D3722B" w:rsidRDefault="00D3722B" w:rsidP="00D3722B">
      <w:pPr>
        <w:spacing w:after="100"/>
        <w:ind w:left="-360"/>
        <w:rPr>
          <w:rFonts w:ascii="Arial" w:hAnsi="Arial" w:cs="Arial"/>
          <w:sz w:val="20"/>
          <w:szCs w:val="20"/>
        </w:rPr>
      </w:pPr>
      <w:r w:rsidRPr="00D3722B">
        <w:rPr>
          <w:rFonts w:ascii="Arial" w:hAnsi="Arial" w:cs="Arial"/>
          <w:sz w:val="20"/>
          <w:szCs w:val="20"/>
        </w:rPr>
        <w:t xml:space="preserve">If an Eligible Project includes </w:t>
      </w:r>
      <w:r w:rsidR="000A251E">
        <w:rPr>
          <w:rFonts w:ascii="Arial" w:hAnsi="Arial" w:cs="Arial"/>
          <w:sz w:val="20"/>
          <w:szCs w:val="20"/>
        </w:rPr>
        <w:t xml:space="preserve">property acquisition as </w:t>
      </w:r>
      <w:r w:rsidRPr="00D3722B">
        <w:rPr>
          <w:rFonts w:ascii="Arial" w:hAnsi="Arial" w:cs="Arial"/>
          <w:sz w:val="20"/>
          <w:szCs w:val="20"/>
        </w:rPr>
        <w:t xml:space="preserve">an Eligible Use, then eligible due diligence costs incurred after the application deadline submission date to KAED may qualify as matching funds should a KPDI funding award occur. </w:t>
      </w:r>
      <w:r w:rsidR="00820B14">
        <w:rPr>
          <w:rFonts w:ascii="Arial" w:hAnsi="Arial" w:cs="Arial"/>
          <w:sz w:val="20"/>
          <w:szCs w:val="20"/>
        </w:rPr>
        <w:t>Thus, t</w:t>
      </w:r>
      <w:r w:rsidR="00354A16">
        <w:rPr>
          <w:rFonts w:ascii="Arial" w:hAnsi="Arial" w:cs="Arial"/>
          <w:sz w:val="20"/>
          <w:szCs w:val="20"/>
        </w:rPr>
        <w:t xml:space="preserve">he IDA funding </w:t>
      </w:r>
      <w:proofErr w:type="gramStart"/>
      <w:r w:rsidR="008705F2">
        <w:rPr>
          <w:rFonts w:ascii="Arial" w:hAnsi="Arial" w:cs="Arial"/>
          <w:sz w:val="20"/>
          <w:szCs w:val="20"/>
        </w:rPr>
        <w:t xml:space="preserve">can </w:t>
      </w:r>
      <w:r w:rsidR="00354A16">
        <w:rPr>
          <w:rFonts w:ascii="Arial" w:hAnsi="Arial" w:cs="Arial"/>
          <w:sz w:val="20"/>
          <w:szCs w:val="20"/>
        </w:rPr>
        <w:t xml:space="preserve"> be</w:t>
      </w:r>
      <w:proofErr w:type="gramEnd"/>
      <w:r w:rsidR="00354A16">
        <w:rPr>
          <w:rFonts w:ascii="Arial" w:hAnsi="Arial" w:cs="Arial"/>
          <w:sz w:val="20"/>
          <w:szCs w:val="20"/>
        </w:rPr>
        <w:t xml:space="preserve"> used for the due diligence, engineering and design as the local match, and the KPDI funds </w:t>
      </w:r>
      <w:r w:rsidR="008705F2">
        <w:rPr>
          <w:rFonts w:ascii="Arial" w:hAnsi="Arial" w:cs="Arial"/>
          <w:sz w:val="20"/>
          <w:szCs w:val="20"/>
        </w:rPr>
        <w:t xml:space="preserve">can </w:t>
      </w:r>
      <w:r w:rsidR="00354A16">
        <w:rPr>
          <w:rFonts w:ascii="Arial" w:hAnsi="Arial" w:cs="Arial"/>
          <w:sz w:val="20"/>
          <w:szCs w:val="20"/>
        </w:rPr>
        <w:t>be applied for the purchase acquisition and infrastructure upgrade</w:t>
      </w:r>
      <w:r w:rsidRPr="00D3722B">
        <w:rPr>
          <w:rFonts w:ascii="Arial" w:hAnsi="Arial" w:cs="Arial"/>
          <w:sz w:val="20"/>
          <w:szCs w:val="20"/>
        </w:rPr>
        <w:t>.</w:t>
      </w:r>
    </w:p>
    <w:p w14:paraId="6D5F9E76" w14:textId="44EFEC22" w:rsidR="00D3722B" w:rsidRDefault="00D3722B" w:rsidP="00292347">
      <w:pPr>
        <w:spacing w:after="100"/>
        <w:ind w:left="-360"/>
        <w:rPr>
          <w:rFonts w:ascii="Arial Narrow" w:hAnsi="Arial Narrow"/>
          <w:b/>
          <w:bCs/>
          <w:color w:val="003865"/>
          <w:sz w:val="28"/>
          <w:szCs w:val="28"/>
        </w:rPr>
      </w:pPr>
    </w:p>
    <w:p w14:paraId="47A8C488" w14:textId="2B8A0433" w:rsidR="006E402F" w:rsidRPr="00292347" w:rsidRDefault="006E402F" w:rsidP="006E402F">
      <w:pPr>
        <w:spacing w:after="100"/>
        <w:ind w:left="-360"/>
        <w:rPr>
          <w:rFonts w:ascii="Arial Narrow" w:hAnsi="Arial Narrow"/>
          <w:b/>
          <w:bCs/>
          <w:color w:val="003865"/>
          <w:sz w:val="28"/>
          <w:szCs w:val="28"/>
        </w:rPr>
      </w:pPr>
      <w:r>
        <w:rPr>
          <w:rFonts w:ascii="Arial Narrow" w:hAnsi="Arial Narrow"/>
          <w:b/>
          <w:bCs/>
          <w:color w:val="003865"/>
          <w:sz w:val="28"/>
          <w:szCs w:val="28"/>
        </w:rPr>
        <w:t>Are projects bound to Davis-Bacon wages</w:t>
      </w:r>
      <w:r w:rsidRPr="00761515">
        <w:rPr>
          <w:rFonts w:ascii="Arial Narrow" w:hAnsi="Arial Narrow"/>
          <w:b/>
          <w:bCs/>
          <w:color w:val="003865"/>
          <w:sz w:val="28"/>
          <w:szCs w:val="28"/>
        </w:rPr>
        <w:t>?</w:t>
      </w:r>
    </w:p>
    <w:p w14:paraId="30886129" w14:textId="454FC895" w:rsidR="006E402F" w:rsidRPr="00A4369C" w:rsidRDefault="006E402F" w:rsidP="006E402F">
      <w:pPr>
        <w:spacing w:after="100"/>
        <w:ind w:left="-360"/>
        <w:rPr>
          <w:rFonts w:ascii="Arial" w:hAnsi="Arial" w:cs="Arial"/>
          <w:sz w:val="20"/>
          <w:szCs w:val="20"/>
        </w:rPr>
      </w:pPr>
      <w:r>
        <w:rPr>
          <w:rFonts w:ascii="Arial" w:hAnsi="Arial" w:cs="Arial"/>
          <w:sz w:val="20"/>
          <w:szCs w:val="20"/>
        </w:rPr>
        <w:t xml:space="preserve">No, not for the KPDI program.  </w:t>
      </w:r>
      <w:r w:rsidR="00820B14">
        <w:rPr>
          <w:rFonts w:ascii="Arial" w:hAnsi="Arial" w:cs="Arial"/>
          <w:sz w:val="20"/>
          <w:szCs w:val="20"/>
        </w:rPr>
        <w:t>However, an applicant is encouraged to assess whether o</w:t>
      </w:r>
      <w:r>
        <w:rPr>
          <w:rFonts w:ascii="Arial" w:hAnsi="Arial" w:cs="Arial"/>
          <w:sz w:val="20"/>
          <w:szCs w:val="20"/>
        </w:rPr>
        <w:t>ther sources of funds for the proposed project</w:t>
      </w:r>
      <w:r w:rsidR="00820B14">
        <w:rPr>
          <w:rFonts w:ascii="Arial" w:hAnsi="Arial" w:cs="Arial"/>
          <w:sz w:val="20"/>
          <w:szCs w:val="20"/>
        </w:rPr>
        <w:t xml:space="preserve"> </w:t>
      </w:r>
      <w:r>
        <w:rPr>
          <w:rFonts w:ascii="Arial" w:hAnsi="Arial" w:cs="Arial"/>
          <w:sz w:val="20"/>
          <w:szCs w:val="20"/>
        </w:rPr>
        <w:t>may have this requirement.</w:t>
      </w:r>
    </w:p>
    <w:p w14:paraId="76481DB6" w14:textId="77777777" w:rsidR="006E402F" w:rsidRDefault="006E402F" w:rsidP="00292347">
      <w:pPr>
        <w:spacing w:after="100"/>
        <w:ind w:left="-360"/>
        <w:rPr>
          <w:rFonts w:ascii="Arial Narrow" w:hAnsi="Arial Narrow"/>
          <w:b/>
          <w:bCs/>
          <w:color w:val="003865"/>
          <w:sz w:val="28"/>
          <w:szCs w:val="28"/>
        </w:rPr>
      </w:pPr>
    </w:p>
    <w:p w14:paraId="10FC7EA3" w14:textId="58F941D6" w:rsidR="00761515" w:rsidRPr="00292347" w:rsidRDefault="000505A9" w:rsidP="00292347">
      <w:pPr>
        <w:spacing w:after="100"/>
        <w:ind w:left="-360"/>
        <w:rPr>
          <w:rFonts w:ascii="Arial Narrow" w:hAnsi="Arial Narrow"/>
          <w:b/>
          <w:bCs/>
          <w:color w:val="003865"/>
          <w:sz w:val="28"/>
          <w:szCs w:val="28"/>
        </w:rPr>
      </w:pPr>
      <w:r>
        <w:rPr>
          <w:rFonts w:ascii="Arial Narrow" w:hAnsi="Arial Narrow"/>
          <w:b/>
          <w:bCs/>
          <w:color w:val="003865"/>
          <w:sz w:val="28"/>
          <w:szCs w:val="28"/>
        </w:rPr>
        <w:t>If a local economic development authority was approved for Pilot PDI funds in 2019, 2020 or 2021</w:t>
      </w:r>
      <w:r w:rsidR="00761515">
        <w:rPr>
          <w:rFonts w:ascii="Arial Narrow" w:hAnsi="Arial Narrow"/>
          <w:b/>
          <w:bCs/>
          <w:color w:val="003865"/>
          <w:sz w:val="28"/>
          <w:szCs w:val="28"/>
        </w:rPr>
        <w:t xml:space="preserve">, will it be eligible to apply for KPDI </w:t>
      </w:r>
      <w:r w:rsidRPr="000505A9">
        <w:rPr>
          <w:rFonts w:ascii="Arial Narrow" w:hAnsi="Arial Narrow"/>
          <w:b/>
          <w:bCs/>
          <w:color w:val="003865"/>
          <w:sz w:val="28"/>
          <w:szCs w:val="28"/>
        </w:rPr>
        <w:t>grant funds?</w:t>
      </w:r>
    </w:p>
    <w:p w14:paraId="52957553" w14:textId="6042C861" w:rsidR="00870EF9" w:rsidRPr="00761515" w:rsidRDefault="0008093C" w:rsidP="00761515">
      <w:pPr>
        <w:spacing w:after="100"/>
        <w:ind w:left="-360"/>
        <w:rPr>
          <w:rFonts w:ascii="Arial" w:hAnsi="Arial" w:cs="Arial"/>
          <w:sz w:val="20"/>
          <w:szCs w:val="20"/>
        </w:rPr>
      </w:pPr>
      <w:r>
        <w:rPr>
          <w:rFonts w:ascii="Arial" w:hAnsi="Arial" w:cs="Arial"/>
          <w:sz w:val="20"/>
          <w:szCs w:val="20"/>
        </w:rPr>
        <w:t>Yes</w:t>
      </w:r>
      <w:r w:rsidR="00FE0291">
        <w:rPr>
          <w:rFonts w:ascii="Arial" w:hAnsi="Arial" w:cs="Arial"/>
          <w:sz w:val="20"/>
          <w:szCs w:val="20"/>
        </w:rPr>
        <w:t>.</w:t>
      </w:r>
    </w:p>
    <w:p w14:paraId="4AC2DF26" w14:textId="77777777" w:rsidR="00870EF9" w:rsidRPr="00BD003B" w:rsidRDefault="00870EF9" w:rsidP="00870EF9">
      <w:pPr>
        <w:pStyle w:val="ListParagraph"/>
        <w:ind w:left="1440"/>
        <w:rPr>
          <w:rFonts w:ascii="Arial" w:hAnsi="Arial" w:cs="Arial"/>
          <w:sz w:val="28"/>
          <w:szCs w:val="28"/>
        </w:rPr>
      </w:pPr>
    </w:p>
    <w:p w14:paraId="4573922D" w14:textId="77777777" w:rsidR="00C0353C" w:rsidRPr="00292347" w:rsidRDefault="00C0353C" w:rsidP="00C0353C">
      <w:pPr>
        <w:spacing w:after="100"/>
        <w:ind w:left="-360"/>
        <w:rPr>
          <w:rFonts w:ascii="Arial Narrow" w:hAnsi="Arial Narrow"/>
          <w:b/>
          <w:bCs/>
          <w:color w:val="003865"/>
          <w:sz w:val="28"/>
          <w:szCs w:val="28"/>
        </w:rPr>
      </w:pPr>
      <w:r w:rsidRPr="000505A9">
        <w:rPr>
          <w:rFonts w:ascii="Arial Narrow" w:hAnsi="Arial Narrow"/>
          <w:b/>
          <w:bCs/>
          <w:color w:val="003865"/>
          <w:sz w:val="28"/>
          <w:szCs w:val="28"/>
        </w:rPr>
        <w:t xml:space="preserve">Is $200 million available for the KPDI </w:t>
      </w:r>
      <w:r>
        <w:rPr>
          <w:rFonts w:ascii="Arial Narrow" w:hAnsi="Arial Narrow"/>
          <w:b/>
          <w:bCs/>
          <w:color w:val="003865"/>
          <w:sz w:val="28"/>
          <w:szCs w:val="28"/>
        </w:rPr>
        <w:t>P</w:t>
      </w:r>
      <w:r w:rsidRPr="000505A9">
        <w:rPr>
          <w:rFonts w:ascii="Arial Narrow" w:hAnsi="Arial Narrow"/>
          <w:b/>
          <w:bCs/>
          <w:color w:val="003865"/>
          <w:sz w:val="28"/>
          <w:szCs w:val="28"/>
        </w:rPr>
        <w:t>rogram?</w:t>
      </w:r>
    </w:p>
    <w:p w14:paraId="7DBB9A17" w14:textId="2B436BD7" w:rsidR="00C0353C" w:rsidRDefault="00C0353C" w:rsidP="00C0353C">
      <w:pPr>
        <w:spacing w:after="100"/>
        <w:ind w:left="-360"/>
        <w:rPr>
          <w:rFonts w:ascii="Arial" w:hAnsi="Arial" w:cs="Arial"/>
          <w:sz w:val="20"/>
          <w:szCs w:val="20"/>
        </w:rPr>
      </w:pPr>
      <w:r w:rsidRPr="000505A9">
        <w:rPr>
          <w:rFonts w:ascii="Arial" w:hAnsi="Arial" w:cs="Arial"/>
          <w:sz w:val="20"/>
          <w:szCs w:val="20"/>
        </w:rPr>
        <w:t xml:space="preserve">No.  HB 1 of the 2022 Regular Session appropriated $100 million for the KPDI program.  Additionally, another $100 million was appropriated for a separate </w:t>
      </w:r>
      <w:r w:rsidR="008705F2">
        <w:rPr>
          <w:rFonts w:ascii="Arial" w:hAnsi="Arial" w:cs="Arial"/>
          <w:sz w:val="20"/>
          <w:szCs w:val="20"/>
        </w:rPr>
        <w:t xml:space="preserve">and </w:t>
      </w:r>
      <w:r w:rsidRPr="000505A9">
        <w:rPr>
          <w:rFonts w:ascii="Arial" w:hAnsi="Arial" w:cs="Arial"/>
          <w:sz w:val="20"/>
          <w:szCs w:val="20"/>
        </w:rPr>
        <w:t xml:space="preserve">distinct program.  The separate program may provide funding for a “mega-development project of at least $10,000,000.”  </w:t>
      </w:r>
      <w:r w:rsidR="0077339C">
        <w:rPr>
          <w:rFonts w:ascii="Arial" w:hAnsi="Arial" w:cs="Arial"/>
          <w:sz w:val="20"/>
          <w:szCs w:val="20"/>
        </w:rPr>
        <w:t xml:space="preserve">Note that </w:t>
      </w:r>
      <w:r w:rsidR="00585E29">
        <w:rPr>
          <w:rFonts w:ascii="Arial" w:hAnsi="Arial" w:cs="Arial"/>
          <w:sz w:val="20"/>
          <w:szCs w:val="20"/>
        </w:rPr>
        <w:t>a</w:t>
      </w:r>
      <w:r w:rsidRPr="000505A9">
        <w:rPr>
          <w:rFonts w:ascii="Arial" w:hAnsi="Arial" w:cs="Arial"/>
          <w:sz w:val="20"/>
          <w:szCs w:val="20"/>
        </w:rPr>
        <w:t xml:space="preserve"> mega economic development project is </w:t>
      </w:r>
      <w:r w:rsidR="0077339C">
        <w:rPr>
          <w:rFonts w:ascii="Arial" w:hAnsi="Arial" w:cs="Arial"/>
          <w:sz w:val="20"/>
          <w:szCs w:val="20"/>
        </w:rPr>
        <w:t xml:space="preserve">one that is already </w:t>
      </w:r>
      <w:proofErr w:type="gramStart"/>
      <w:r w:rsidR="0077339C">
        <w:rPr>
          <w:rFonts w:ascii="Arial" w:hAnsi="Arial" w:cs="Arial"/>
          <w:sz w:val="20"/>
          <w:szCs w:val="20"/>
        </w:rPr>
        <w:t xml:space="preserve">of </w:t>
      </w:r>
      <w:r w:rsidRPr="000505A9">
        <w:rPr>
          <w:rFonts w:ascii="Arial" w:hAnsi="Arial" w:cs="Arial"/>
          <w:sz w:val="20"/>
          <w:szCs w:val="20"/>
        </w:rPr>
        <w:t xml:space="preserve"> interest</w:t>
      </w:r>
      <w:proofErr w:type="gramEnd"/>
      <w:r w:rsidRPr="000505A9">
        <w:rPr>
          <w:rFonts w:ascii="Arial" w:hAnsi="Arial" w:cs="Arial"/>
          <w:sz w:val="20"/>
          <w:szCs w:val="20"/>
        </w:rPr>
        <w:t xml:space="preserve"> </w:t>
      </w:r>
      <w:r w:rsidR="0077339C">
        <w:rPr>
          <w:rFonts w:ascii="Arial" w:hAnsi="Arial" w:cs="Arial"/>
          <w:sz w:val="20"/>
          <w:szCs w:val="20"/>
        </w:rPr>
        <w:t>to</w:t>
      </w:r>
      <w:r w:rsidRPr="000505A9">
        <w:rPr>
          <w:rFonts w:ascii="Arial" w:hAnsi="Arial" w:cs="Arial"/>
          <w:sz w:val="20"/>
          <w:szCs w:val="20"/>
        </w:rPr>
        <w:t xml:space="preserve"> a company</w:t>
      </w:r>
      <w:r w:rsidR="0077339C">
        <w:rPr>
          <w:rFonts w:ascii="Arial" w:hAnsi="Arial" w:cs="Arial"/>
          <w:sz w:val="20"/>
          <w:szCs w:val="20"/>
        </w:rPr>
        <w:t xml:space="preserve"> seeking</w:t>
      </w:r>
      <w:r w:rsidRPr="000505A9">
        <w:rPr>
          <w:rFonts w:ascii="Arial" w:hAnsi="Arial" w:cs="Arial"/>
          <w:sz w:val="20"/>
          <w:szCs w:val="20"/>
        </w:rPr>
        <w:t xml:space="preserve"> to locate or expand in Kentucky and </w:t>
      </w:r>
      <w:r w:rsidR="0077339C">
        <w:rPr>
          <w:rFonts w:ascii="Arial" w:hAnsi="Arial" w:cs="Arial"/>
          <w:sz w:val="20"/>
          <w:szCs w:val="20"/>
        </w:rPr>
        <w:t xml:space="preserve">that has </w:t>
      </w:r>
      <w:r w:rsidRPr="000505A9">
        <w:rPr>
          <w:rFonts w:ascii="Arial" w:hAnsi="Arial" w:cs="Arial"/>
          <w:sz w:val="20"/>
          <w:szCs w:val="20"/>
        </w:rPr>
        <w:t>infrastructure costs exceed</w:t>
      </w:r>
      <w:r w:rsidR="0077339C">
        <w:rPr>
          <w:rFonts w:ascii="Arial" w:hAnsi="Arial" w:cs="Arial"/>
          <w:sz w:val="20"/>
          <w:szCs w:val="20"/>
        </w:rPr>
        <w:t>ing</w:t>
      </w:r>
      <w:r w:rsidRPr="000505A9">
        <w:rPr>
          <w:rFonts w:ascii="Arial" w:hAnsi="Arial" w:cs="Arial"/>
          <w:sz w:val="20"/>
          <w:szCs w:val="20"/>
        </w:rPr>
        <w:t xml:space="preserve"> $10,000,000 at the potential location.</w:t>
      </w:r>
    </w:p>
    <w:p w14:paraId="4A30993D" w14:textId="77777777" w:rsidR="00C0353C" w:rsidRDefault="00C0353C" w:rsidP="00761515">
      <w:pPr>
        <w:spacing w:after="100"/>
        <w:ind w:left="-360"/>
        <w:rPr>
          <w:rFonts w:ascii="Arial Narrow" w:hAnsi="Arial Narrow"/>
          <w:b/>
          <w:bCs/>
          <w:color w:val="003865"/>
          <w:sz w:val="28"/>
          <w:szCs w:val="28"/>
        </w:rPr>
      </w:pPr>
    </w:p>
    <w:p w14:paraId="1FBCFD20" w14:textId="3E380342" w:rsidR="00761515" w:rsidRDefault="00761515" w:rsidP="00761515">
      <w:pPr>
        <w:spacing w:after="100"/>
        <w:ind w:left="-360"/>
        <w:rPr>
          <w:rFonts w:ascii="Arial" w:hAnsi="Arial" w:cs="Arial"/>
          <w:sz w:val="20"/>
          <w:szCs w:val="20"/>
        </w:rPr>
      </w:pPr>
      <w:r w:rsidRPr="00761515">
        <w:rPr>
          <w:rFonts w:ascii="Arial Narrow" w:hAnsi="Arial Narrow"/>
          <w:b/>
          <w:bCs/>
          <w:color w:val="003865"/>
          <w:sz w:val="28"/>
          <w:szCs w:val="28"/>
        </w:rPr>
        <w:t xml:space="preserve">What population estimates were used to establish the maximum </w:t>
      </w:r>
      <w:r w:rsidR="00820B14">
        <w:rPr>
          <w:rFonts w:ascii="Arial Narrow" w:hAnsi="Arial Narrow"/>
          <w:b/>
          <w:bCs/>
          <w:color w:val="003865"/>
          <w:sz w:val="28"/>
          <w:szCs w:val="28"/>
        </w:rPr>
        <w:t xml:space="preserve">funding </w:t>
      </w:r>
      <w:r w:rsidRPr="00761515">
        <w:rPr>
          <w:rFonts w:ascii="Arial Narrow" w:hAnsi="Arial Narrow"/>
          <w:b/>
          <w:bCs/>
          <w:color w:val="003865"/>
          <w:sz w:val="28"/>
          <w:szCs w:val="28"/>
        </w:rPr>
        <w:t>for each county</w:t>
      </w:r>
      <w:r w:rsidR="00820B14">
        <w:rPr>
          <w:rFonts w:ascii="Arial Narrow" w:hAnsi="Arial Narrow"/>
          <w:b/>
          <w:bCs/>
          <w:color w:val="003865"/>
          <w:sz w:val="28"/>
          <w:szCs w:val="28"/>
        </w:rPr>
        <w:t>?</w:t>
      </w:r>
      <w:r>
        <w:rPr>
          <w:rFonts w:ascii="Arial Narrow" w:hAnsi="Arial Narrow"/>
          <w:b/>
          <w:bCs/>
          <w:color w:val="003865"/>
          <w:sz w:val="28"/>
          <w:szCs w:val="28"/>
        </w:rPr>
        <w:t xml:space="preserve"> </w:t>
      </w:r>
    </w:p>
    <w:p w14:paraId="38FE295C" w14:textId="08ED9F3F" w:rsidR="00BD003B" w:rsidRDefault="00761515" w:rsidP="00BD003B">
      <w:pPr>
        <w:spacing w:after="100"/>
        <w:ind w:left="-360"/>
        <w:rPr>
          <w:rFonts w:ascii="Arial" w:hAnsi="Arial" w:cs="Arial"/>
          <w:sz w:val="20"/>
          <w:szCs w:val="20"/>
        </w:rPr>
      </w:pPr>
      <w:r w:rsidRPr="00761515">
        <w:rPr>
          <w:rFonts w:ascii="Arial" w:hAnsi="Arial" w:cs="Arial"/>
          <w:sz w:val="20"/>
          <w:szCs w:val="20"/>
        </w:rPr>
        <w:t>Per the legislation, 2020 census data was used to formulate maximums for each county</w:t>
      </w:r>
      <w:r w:rsidR="00820B14">
        <w:rPr>
          <w:rFonts w:ascii="Arial" w:hAnsi="Arial" w:cs="Arial"/>
          <w:sz w:val="20"/>
          <w:szCs w:val="20"/>
        </w:rPr>
        <w:t>.</w:t>
      </w:r>
      <w:r w:rsidRPr="00761515">
        <w:rPr>
          <w:rFonts w:ascii="Arial" w:hAnsi="Arial" w:cs="Arial"/>
          <w:sz w:val="20"/>
          <w:szCs w:val="20"/>
        </w:rPr>
        <w:t xml:space="preserve"> </w:t>
      </w:r>
    </w:p>
    <w:p w14:paraId="43F91D72" w14:textId="46EB67B2" w:rsidR="00BD003B" w:rsidRPr="00BD003B" w:rsidRDefault="00BD003B" w:rsidP="00BD003B">
      <w:pPr>
        <w:spacing w:after="100"/>
        <w:ind w:left="-360"/>
        <w:rPr>
          <w:rFonts w:ascii="Arial" w:hAnsi="Arial" w:cs="Arial"/>
          <w:sz w:val="28"/>
          <w:szCs w:val="28"/>
        </w:rPr>
      </w:pPr>
    </w:p>
    <w:p w14:paraId="4BB9B637" w14:textId="05E1D6EB" w:rsidR="00BD003B" w:rsidRDefault="00BD003B" w:rsidP="00BD003B">
      <w:pPr>
        <w:spacing w:after="100"/>
        <w:ind w:left="-360"/>
        <w:rPr>
          <w:rFonts w:ascii="Arial" w:hAnsi="Arial" w:cs="Arial"/>
          <w:sz w:val="20"/>
          <w:szCs w:val="20"/>
        </w:rPr>
      </w:pPr>
      <w:r>
        <w:rPr>
          <w:rFonts w:ascii="Arial Narrow" w:hAnsi="Arial Narrow"/>
          <w:b/>
          <w:bCs/>
          <w:color w:val="003865"/>
          <w:sz w:val="28"/>
          <w:szCs w:val="28"/>
        </w:rPr>
        <w:t>For a regional project, does the land have to cross county lines or can it be in one county with sharing of the available funding</w:t>
      </w:r>
      <w:r w:rsidRPr="00761515">
        <w:rPr>
          <w:rFonts w:ascii="Arial Narrow" w:hAnsi="Arial Narrow"/>
          <w:b/>
          <w:bCs/>
          <w:color w:val="003865"/>
          <w:sz w:val="28"/>
          <w:szCs w:val="28"/>
        </w:rPr>
        <w:t>?</w:t>
      </w:r>
    </w:p>
    <w:p w14:paraId="4FF5E3DE" w14:textId="1E8AB2A9" w:rsidR="00BD003B" w:rsidRDefault="00BD003B" w:rsidP="00BD003B">
      <w:pPr>
        <w:spacing w:after="100"/>
        <w:ind w:left="-360"/>
        <w:rPr>
          <w:rFonts w:ascii="Arial" w:hAnsi="Arial" w:cs="Arial"/>
          <w:sz w:val="20"/>
          <w:szCs w:val="20"/>
        </w:rPr>
      </w:pPr>
      <w:r>
        <w:rPr>
          <w:rFonts w:ascii="Arial" w:hAnsi="Arial" w:cs="Arial"/>
          <w:sz w:val="20"/>
          <w:szCs w:val="20"/>
        </w:rPr>
        <w:t xml:space="preserve">The land may </w:t>
      </w:r>
      <w:proofErr w:type="gramStart"/>
      <w:r>
        <w:rPr>
          <w:rFonts w:ascii="Arial" w:hAnsi="Arial" w:cs="Arial"/>
          <w:sz w:val="20"/>
          <w:szCs w:val="20"/>
        </w:rPr>
        <w:t>be located in</w:t>
      </w:r>
      <w:proofErr w:type="gramEnd"/>
      <w:r>
        <w:rPr>
          <w:rFonts w:ascii="Arial" w:hAnsi="Arial" w:cs="Arial"/>
          <w:sz w:val="20"/>
          <w:szCs w:val="20"/>
        </w:rPr>
        <w:t xml:space="preserve"> one county and multiple counties agree to apply</w:t>
      </w:r>
      <w:r w:rsidR="0077339C">
        <w:rPr>
          <w:rFonts w:ascii="Arial" w:hAnsi="Arial" w:cs="Arial"/>
          <w:sz w:val="20"/>
          <w:szCs w:val="20"/>
        </w:rPr>
        <w:t xml:space="preserve"> together and combine </w:t>
      </w:r>
      <w:r>
        <w:rPr>
          <w:rFonts w:ascii="Arial" w:hAnsi="Arial" w:cs="Arial"/>
          <w:sz w:val="20"/>
          <w:szCs w:val="20"/>
        </w:rPr>
        <w:t>the available funds for</w:t>
      </w:r>
      <w:r w:rsidR="00585E29">
        <w:rPr>
          <w:rFonts w:ascii="Arial" w:hAnsi="Arial" w:cs="Arial"/>
          <w:sz w:val="20"/>
          <w:szCs w:val="20"/>
        </w:rPr>
        <w:t xml:space="preserve"> </w:t>
      </w:r>
      <w:r>
        <w:rPr>
          <w:rFonts w:ascii="Arial" w:hAnsi="Arial" w:cs="Arial"/>
          <w:sz w:val="20"/>
          <w:szCs w:val="20"/>
        </w:rPr>
        <w:t>each county.</w:t>
      </w:r>
    </w:p>
    <w:p w14:paraId="7F6B200E" w14:textId="083385B3" w:rsidR="00BD003B" w:rsidRDefault="00BD003B" w:rsidP="00BD003B">
      <w:pPr>
        <w:spacing w:after="100"/>
        <w:ind w:left="-360"/>
        <w:rPr>
          <w:rFonts w:ascii="Arial" w:hAnsi="Arial" w:cs="Arial"/>
          <w:sz w:val="28"/>
          <w:szCs w:val="28"/>
        </w:rPr>
      </w:pPr>
    </w:p>
    <w:p w14:paraId="095DB48D" w14:textId="03A9B89A" w:rsidR="00BD003B" w:rsidRDefault="00BD003B" w:rsidP="00BD003B">
      <w:pPr>
        <w:spacing w:after="100"/>
        <w:ind w:left="-360"/>
        <w:rPr>
          <w:rFonts w:ascii="Arial" w:hAnsi="Arial" w:cs="Arial"/>
          <w:sz w:val="20"/>
          <w:szCs w:val="20"/>
        </w:rPr>
      </w:pPr>
      <w:r>
        <w:rPr>
          <w:rFonts w:ascii="Arial Narrow" w:hAnsi="Arial Narrow"/>
          <w:b/>
          <w:bCs/>
          <w:color w:val="003865"/>
          <w:sz w:val="28"/>
          <w:szCs w:val="28"/>
        </w:rPr>
        <w:t>Provide examples of maximum funding available for regional projects since there is a $2 million maximum available for a project per county.</w:t>
      </w:r>
    </w:p>
    <w:p w14:paraId="346E0CDD" w14:textId="77777777" w:rsidR="00700A52" w:rsidRDefault="00BD003B" w:rsidP="00BD003B">
      <w:pPr>
        <w:spacing w:after="100"/>
        <w:ind w:left="-360"/>
        <w:rPr>
          <w:rFonts w:ascii="Arial" w:hAnsi="Arial" w:cs="Arial"/>
          <w:sz w:val="20"/>
          <w:szCs w:val="20"/>
        </w:rPr>
      </w:pPr>
      <w:r>
        <w:rPr>
          <w:rFonts w:ascii="Arial" w:hAnsi="Arial" w:cs="Arial"/>
          <w:sz w:val="20"/>
          <w:szCs w:val="20"/>
        </w:rPr>
        <w:t>Example 1</w:t>
      </w:r>
      <w:r w:rsidR="00700A52">
        <w:rPr>
          <w:rFonts w:ascii="Arial" w:hAnsi="Arial" w:cs="Arial"/>
          <w:sz w:val="20"/>
          <w:szCs w:val="20"/>
        </w:rPr>
        <w:t xml:space="preserve"> – Funding available in neither county is greater than $2 million</w:t>
      </w:r>
      <w:r>
        <w:rPr>
          <w:rFonts w:ascii="Arial" w:hAnsi="Arial" w:cs="Arial"/>
          <w:sz w:val="20"/>
          <w:szCs w:val="20"/>
        </w:rPr>
        <w:t xml:space="preserve">:  </w:t>
      </w:r>
    </w:p>
    <w:p w14:paraId="0C38FBFE" w14:textId="549D257B" w:rsidR="00700A52" w:rsidRDefault="00BD003B" w:rsidP="00700A52">
      <w:pPr>
        <w:spacing w:after="100"/>
        <w:ind w:left="-360" w:firstLine="1080"/>
        <w:rPr>
          <w:rFonts w:ascii="Arial" w:hAnsi="Arial" w:cs="Arial"/>
          <w:sz w:val="20"/>
          <w:szCs w:val="20"/>
        </w:rPr>
      </w:pPr>
      <w:r>
        <w:rPr>
          <w:rFonts w:ascii="Arial" w:hAnsi="Arial" w:cs="Arial"/>
          <w:sz w:val="20"/>
          <w:szCs w:val="20"/>
        </w:rPr>
        <w:t xml:space="preserve">Anderson ($579,727) </w:t>
      </w:r>
      <w:r w:rsidR="00700A52">
        <w:rPr>
          <w:rFonts w:ascii="Arial" w:hAnsi="Arial" w:cs="Arial"/>
          <w:sz w:val="20"/>
          <w:szCs w:val="20"/>
        </w:rPr>
        <w:t>&amp;</w:t>
      </w:r>
      <w:r>
        <w:rPr>
          <w:rFonts w:ascii="Arial" w:hAnsi="Arial" w:cs="Arial"/>
          <w:sz w:val="20"/>
          <w:szCs w:val="20"/>
        </w:rPr>
        <w:t xml:space="preserve"> Franklin (</w:t>
      </w:r>
      <w:r w:rsidR="00700A52">
        <w:rPr>
          <w:rFonts w:ascii="Arial" w:hAnsi="Arial" w:cs="Arial"/>
          <w:sz w:val="20"/>
          <w:szCs w:val="20"/>
        </w:rPr>
        <w:t>$1,252,712) = $1,832,439 maximum available</w:t>
      </w:r>
    </w:p>
    <w:p w14:paraId="1A1A72A0" w14:textId="6CC4590A" w:rsidR="00700A52" w:rsidRDefault="00700A52" w:rsidP="00700A52">
      <w:pPr>
        <w:spacing w:after="100"/>
        <w:ind w:left="-360"/>
        <w:rPr>
          <w:rFonts w:ascii="Arial" w:hAnsi="Arial" w:cs="Arial"/>
          <w:sz w:val="20"/>
          <w:szCs w:val="20"/>
        </w:rPr>
      </w:pPr>
      <w:r>
        <w:rPr>
          <w:rFonts w:ascii="Arial" w:hAnsi="Arial" w:cs="Arial"/>
          <w:sz w:val="20"/>
          <w:szCs w:val="20"/>
        </w:rPr>
        <w:t xml:space="preserve">Example 2 – Funding available in one county is greater than $2 million:  </w:t>
      </w:r>
    </w:p>
    <w:p w14:paraId="4A041806" w14:textId="2A3A0BD6" w:rsidR="00700A52" w:rsidRDefault="00700A52" w:rsidP="00700A52">
      <w:pPr>
        <w:spacing w:after="100"/>
        <w:ind w:left="-360" w:firstLine="1080"/>
        <w:rPr>
          <w:rFonts w:ascii="Arial" w:hAnsi="Arial" w:cs="Arial"/>
          <w:sz w:val="20"/>
          <w:szCs w:val="20"/>
        </w:rPr>
      </w:pPr>
      <w:r>
        <w:rPr>
          <w:rFonts w:ascii="Arial" w:hAnsi="Arial" w:cs="Arial"/>
          <w:sz w:val="20"/>
          <w:szCs w:val="20"/>
        </w:rPr>
        <w:t>Fayette ($7,840,117) &amp; Woodford ($653,104) = $2,653,104 maximum available</w:t>
      </w:r>
    </w:p>
    <w:p w14:paraId="537518DE" w14:textId="004C55C6" w:rsidR="00700A52" w:rsidRDefault="00700A52" w:rsidP="00700A52">
      <w:pPr>
        <w:spacing w:after="100"/>
        <w:ind w:left="-360"/>
        <w:rPr>
          <w:rFonts w:ascii="Arial" w:hAnsi="Arial" w:cs="Arial"/>
          <w:sz w:val="20"/>
          <w:szCs w:val="20"/>
        </w:rPr>
      </w:pPr>
      <w:r>
        <w:rPr>
          <w:rFonts w:ascii="Arial" w:hAnsi="Arial" w:cs="Arial"/>
          <w:sz w:val="20"/>
          <w:szCs w:val="20"/>
        </w:rPr>
        <w:t xml:space="preserve">Example </w:t>
      </w:r>
      <w:r w:rsidR="00C0353C">
        <w:rPr>
          <w:rFonts w:ascii="Arial" w:hAnsi="Arial" w:cs="Arial"/>
          <w:sz w:val="20"/>
          <w:szCs w:val="20"/>
        </w:rPr>
        <w:t>3</w:t>
      </w:r>
      <w:r>
        <w:rPr>
          <w:rFonts w:ascii="Arial" w:hAnsi="Arial" w:cs="Arial"/>
          <w:sz w:val="20"/>
          <w:szCs w:val="20"/>
        </w:rPr>
        <w:t xml:space="preserve"> – Funding available in two counties is greater than $2 million:  </w:t>
      </w:r>
    </w:p>
    <w:p w14:paraId="411DED19" w14:textId="0BBD992B" w:rsidR="00700A52" w:rsidRPr="00700A52" w:rsidRDefault="00700A52" w:rsidP="00700A52">
      <w:pPr>
        <w:spacing w:after="100"/>
        <w:ind w:left="-360" w:firstLine="1080"/>
        <w:rPr>
          <w:rFonts w:ascii="Arial" w:hAnsi="Arial" w:cs="Arial"/>
          <w:sz w:val="20"/>
          <w:szCs w:val="20"/>
        </w:rPr>
      </w:pPr>
      <w:r>
        <w:rPr>
          <w:rFonts w:ascii="Arial" w:hAnsi="Arial" w:cs="Arial"/>
          <w:sz w:val="20"/>
          <w:szCs w:val="20"/>
        </w:rPr>
        <w:t>Kenton ($4,109,128) &amp; Campbell ($2,262,227) = $4,000,000 maximum available</w:t>
      </w:r>
    </w:p>
    <w:p w14:paraId="1E43A99F" w14:textId="77777777" w:rsidR="00700A52" w:rsidRDefault="00700A52" w:rsidP="00700A52">
      <w:pPr>
        <w:spacing w:after="100"/>
        <w:ind w:left="-360"/>
        <w:rPr>
          <w:rFonts w:ascii="Arial Narrow" w:hAnsi="Arial Narrow"/>
          <w:b/>
          <w:bCs/>
          <w:color w:val="003865"/>
          <w:sz w:val="28"/>
          <w:szCs w:val="28"/>
        </w:rPr>
      </w:pPr>
    </w:p>
    <w:p w14:paraId="433CF231" w14:textId="39AEA031" w:rsidR="00700A52" w:rsidRDefault="00700A52" w:rsidP="00700A52">
      <w:pPr>
        <w:spacing w:after="100"/>
        <w:ind w:left="-360"/>
        <w:rPr>
          <w:rFonts w:ascii="Arial" w:hAnsi="Arial" w:cs="Arial"/>
          <w:sz w:val="20"/>
          <w:szCs w:val="20"/>
        </w:rPr>
      </w:pPr>
      <w:r>
        <w:rPr>
          <w:rFonts w:ascii="Arial Narrow" w:hAnsi="Arial Narrow"/>
          <w:b/>
          <w:bCs/>
          <w:color w:val="003865"/>
          <w:sz w:val="28"/>
          <w:szCs w:val="28"/>
        </w:rPr>
        <w:t>If a county has maximum funding available of $1.5 million, a match of $1.5 million will result in a total project cost of $3 million.  Is the total project cost limited to $2 million?</w:t>
      </w:r>
    </w:p>
    <w:p w14:paraId="4C697293" w14:textId="77F9F874" w:rsidR="00BD003B" w:rsidRDefault="00700A52" w:rsidP="00700A52">
      <w:pPr>
        <w:spacing w:after="100"/>
        <w:ind w:left="-360"/>
        <w:rPr>
          <w:rFonts w:ascii="Arial" w:hAnsi="Arial" w:cs="Arial"/>
          <w:sz w:val="20"/>
          <w:szCs w:val="20"/>
        </w:rPr>
      </w:pPr>
      <w:r>
        <w:rPr>
          <w:rFonts w:ascii="Arial" w:hAnsi="Arial" w:cs="Arial"/>
          <w:sz w:val="20"/>
          <w:szCs w:val="20"/>
        </w:rPr>
        <w:t>No.  The KPDI funding available is limited to $2 million per Eligible Project not the total project cost.  In this example, an application may be submitted for $1.5 million of KPDI funding for the total project cost of $3 million.</w:t>
      </w:r>
    </w:p>
    <w:p w14:paraId="0F5C639C" w14:textId="5BBD9D10" w:rsidR="00700A52" w:rsidRDefault="00700A52" w:rsidP="00700A52">
      <w:pPr>
        <w:spacing w:after="100"/>
        <w:ind w:left="-360"/>
        <w:rPr>
          <w:rFonts w:ascii="Arial" w:hAnsi="Arial" w:cs="Arial"/>
          <w:sz w:val="28"/>
          <w:szCs w:val="28"/>
        </w:rPr>
      </w:pPr>
    </w:p>
    <w:p w14:paraId="7BDD2F27" w14:textId="5FA85DF6" w:rsidR="00C0353C" w:rsidRDefault="00C0353C" w:rsidP="00C0353C">
      <w:pPr>
        <w:spacing w:after="100"/>
        <w:ind w:left="-360"/>
        <w:rPr>
          <w:rFonts w:ascii="Arial" w:hAnsi="Arial" w:cs="Arial"/>
          <w:sz w:val="20"/>
          <w:szCs w:val="20"/>
        </w:rPr>
      </w:pPr>
      <w:r>
        <w:rPr>
          <w:rFonts w:ascii="Arial Narrow" w:hAnsi="Arial Narrow"/>
          <w:b/>
          <w:bCs/>
          <w:color w:val="003865"/>
          <w:sz w:val="28"/>
          <w:szCs w:val="28"/>
        </w:rPr>
        <w:t xml:space="preserve">If a county has maximum funding available that exceeds $2 million, is the county only eligible to submit applications for funding </w:t>
      </w:r>
      <w:proofErr w:type="spellStart"/>
      <w:r>
        <w:rPr>
          <w:rFonts w:ascii="Arial Narrow" w:hAnsi="Arial Narrow"/>
          <w:b/>
          <w:bCs/>
          <w:color w:val="003865"/>
          <w:sz w:val="28"/>
          <w:szCs w:val="28"/>
        </w:rPr>
        <w:t>totalling</w:t>
      </w:r>
      <w:proofErr w:type="spellEnd"/>
      <w:r>
        <w:rPr>
          <w:rFonts w:ascii="Arial Narrow" w:hAnsi="Arial Narrow"/>
          <w:b/>
          <w:bCs/>
          <w:color w:val="003865"/>
          <w:sz w:val="28"/>
          <w:szCs w:val="28"/>
        </w:rPr>
        <w:t xml:space="preserve"> $2 million?</w:t>
      </w:r>
    </w:p>
    <w:p w14:paraId="143F6653" w14:textId="0BA0754B" w:rsidR="00C0353C" w:rsidRDefault="00C0353C" w:rsidP="00C0353C">
      <w:pPr>
        <w:spacing w:after="100"/>
        <w:ind w:left="-360"/>
        <w:rPr>
          <w:rFonts w:ascii="Arial" w:hAnsi="Arial" w:cs="Arial"/>
          <w:sz w:val="28"/>
          <w:szCs w:val="28"/>
        </w:rPr>
      </w:pPr>
      <w:r>
        <w:rPr>
          <w:rFonts w:ascii="Arial" w:hAnsi="Arial" w:cs="Arial"/>
          <w:sz w:val="20"/>
          <w:szCs w:val="20"/>
        </w:rPr>
        <w:t xml:space="preserve">No.  The KPDI funding available is limited to $2 million per Eligible Project in the county.  The county may submit multiple applications with a requested total amount of KPDI funding equal to the maximum funding available for the county </w:t>
      </w:r>
      <w:proofErr w:type="gramStart"/>
      <w:r>
        <w:rPr>
          <w:rFonts w:ascii="Arial" w:hAnsi="Arial" w:cs="Arial"/>
          <w:sz w:val="20"/>
          <w:szCs w:val="20"/>
        </w:rPr>
        <w:t>as long as</w:t>
      </w:r>
      <w:proofErr w:type="gramEnd"/>
      <w:r>
        <w:rPr>
          <w:rFonts w:ascii="Arial" w:hAnsi="Arial" w:cs="Arial"/>
          <w:sz w:val="20"/>
          <w:szCs w:val="20"/>
        </w:rPr>
        <w:t xml:space="preserve"> each application does not exceed the $2 million request</w:t>
      </w:r>
      <w:r w:rsidR="003B2DF9">
        <w:rPr>
          <w:rFonts w:ascii="Arial" w:hAnsi="Arial" w:cs="Arial"/>
          <w:sz w:val="20"/>
          <w:szCs w:val="20"/>
        </w:rPr>
        <w:t xml:space="preserve"> </w:t>
      </w:r>
      <w:r w:rsidR="00C86672">
        <w:rPr>
          <w:rFonts w:ascii="Arial" w:hAnsi="Arial" w:cs="Arial"/>
          <w:sz w:val="20"/>
          <w:szCs w:val="20"/>
        </w:rPr>
        <w:t>per Eligible Project.</w:t>
      </w:r>
    </w:p>
    <w:p w14:paraId="00ACAFB4" w14:textId="77777777" w:rsidR="00C0353C" w:rsidRPr="00700A52" w:rsidRDefault="00C0353C" w:rsidP="00700A52">
      <w:pPr>
        <w:spacing w:after="100"/>
        <w:ind w:left="-360"/>
        <w:rPr>
          <w:rFonts w:ascii="Arial" w:hAnsi="Arial" w:cs="Arial"/>
          <w:sz w:val="28"/>
          <w:szCs w:val="28"/>
        </w:rPr>
      </w:pPr>
    </w:p>
    <w:p w14:paraId="360E84F3" w14:textId="77777777" w:rsidR="00761515" w:rsidRPr="00292347" w:rsidRDefault="00761515" w:rsidP="00292347">
      <w:pPr>
        <w:spacing w:after="100"/>
        <w:ind w:left="-360"/>
        <w:rPr>
          <w:rFonts w:ascii="Arial Narrow" w:hAnsi="Arial Narrow"/>
          <w:b/>
          <w:bCs/>
          <w:color w:val="003865"/>
          <w:sz w:val="28"/>
          <w:szCs w:val="28"/>
        </w:rPr>
      </w:pPr>
      <w:r w:rsidRPr="00761515">
        <w:rPr>
          <w:rFonts w:ascii="Arial Narrow" w:hAnsi="Arial Narrow"/>
          <w:b/>
          <w:bCs/>
          <w:color w:val="003865"/>
          <w:sz w:val="28"/>
          <w:szCs w:val="28"/>
        </w:rPr>
        <w:t>Is there an application fee and how is that applied with multiple applications?</w:t>
      </w:r>
    </w:p>
    <w:p w14:paraId="2507EA8F" w14:textId="61258B68" w:rsidR="00870EF9" w:rsidRPr="00A4369C" w:rsidRDefault="00761515" w:rsidP="00A4369C">
      <w:pPr>
        <w:spacing w:after="100"/>
        <w:ind w:left="-360"/>
        <w:rPr>
          <w:rFonts w:ascii="Arial" w:hAnsi="Arial" w:cs="Arial"/>
          <w:sz w:val="20"/>
          <w:szCs w:val="20"/>
        </w:rPr>
      </w:pPr>
      <w:r w:rsidRPr="00761515">
        <w:rPr>
          <w:rFonts w:ascii="Arial" w:hAnsi="Arial" w:cs="Arial"/>
          <w:sz w:val="20"/>
          <w:szCs w:val="20"/>
        </w:rPr>
        <w:t>Yes</w:t>
      </w:r>
      <w:r w:rsidR="00FE0291">
        <w:rPr>
          <w:rFonts w:ascii="Arial" w:hAnsi="Arial" w:cs="Arial"/>
          <w:sz w:val="20"/>
          <w:szCs w:val="20"/>
        </w:rPr>
        <w:t>.</w:t>
      </w:r>
      <w:r w:rsidRPr="00761515">
        <w:rPr>
          <w:rFonts w:ascii="Arial" w:hAnsi="Arial" w:cs="Arial"/>
          <w:sz w:val="20"/>
          <w:szCs w:val="20"/>
        </w:rPr>
        <w:t xml:space="preserve"> </w:t>
      </w:r>
      <w:r w:rsidR="00FE0291">
        <w:rPr>
          <w:rFonts w:ascii="Arial" w:hAnsi="Arial" w:cs="Arial"/>
          <w:sz w:val="20"/>
          <w:szCs w:val="20"/>
        </w:rPr>
        <w:t>T</w:t>
      </w:r>
      <w:r w:rsidRPr="00761515">
        <w:rPr>
          <w:rFonts w:ascii="Arial" w:hAnsi="Arial" w:cs="Arial"/>
          <w:sz w:val="20"/>
          <w:szCs w:val="20"/>
        </w:rPr>
        <w:t>here is a $500</w:t>
      </w:r>
      <w:r w:rsidR="0008093C">
        <w:rPr>
          <w:rFonts w:ascii="Arial" w:hAnsi="Arial" w:cs="Arial"/>
          <w:sz w:val="20"/>
          <w:szCs w:val="20"/>
        </w:rPr>
        <w:t xml:space="preserve"> application</w:t>
      </w:r>
      <w:r w:rsidRPr="00761515">
        <w:rPr>
          <w:rFonts w:ascii="Arial" w:hAnsi="Arial" w:cs="Arial"/>
          <w:sz w:val="20"/>
          <w:szCs w:val="20"/>
        </w:rPr>
        <w:t xml:space="preserve"> fee which is required for each application submitted</w:t>
      </w:r>
      <w:r w:rsidR="005115A3">
        <w:rPr>
          <w:rFonts w:ascii="Arial" w:hAnsi="Arial" w:cs="Arial"/>
          <w:sz w:val="20"/>
          <w:szCs w:val="20"/>
        </w:rPr>
        <w:t>.</w:t>
      </w:r>
      <w:r w:rsidRPr="00761515">
        <w:rPr>
          <w:rFonts w:ascii="Arial" w:hAnsi="Arial" w:cs="Arial"/>
          <w:sz w:val="20"/>
          <w:szCs w:val="20"/>
        </w:rPr>
        <w:t xml:space="preserve"> </w:t>
      </w:r>
    </w:p>
    <w:p w14:paraId="3BBE35DC" w14:textId="77777777" w:rsidR="00870EF9" w:rsidRPr="00BD003B" w:rsidRDefault="00870EF9" w:rsidP="00870EF9">
      <w:pPr>
        <w:pStyle w:val="ListParagraph"/>
        <w:rPr>
          <w:rFonts w:ascii="Arial" w:hAnsi="Arial" w:cs="Arial"/>
          <w:sz w:val="28"/>
          <w:szCs w:val="28"/>
        </w:rPr>
      </w:pPr>
    </w:p>
    <w:p w14:paraId="00EFB241" w14:textId="623A72A2" w:rsidR="00FF6DBF" w:rsidRDefault="00FF6DBF" w:rsidP="00FF6DBF">
      <w:pPr>
        <w:spacing w:after="100"/>
        <w:ind w:left="-360"/>
        <w:rPr>
          <w:rFonts w:ascii="Arial" w:hAnsi="Arial" w:cs="Arial"/>
          <w:sz w:val="20"/>
          <w:szCs w:val="20"/>
        </w:rPr>
      </w:pPr>
      <w:r w:rsidRPr="00FF6DBF">
        <w:rPr>
          <w:rFonts w:ascii="Arial Narrow" w:hAnsi="Arial Narrow"/>
          <w:b/>
          <w:bCs/>
          <w:color w:val="003865"/>
          <w:sz w:val="28"/>
          <w:szCs w:val="28"/>
        </w:rPr>
        <w:t>Can a county be part of multiple applications? Example, a regional and single project application?</w:t>
      </w:r>
    </w:p>
    <w:p w14:paraId="21C117E7" w14:textId="613FAD98" w:rsidR="00870EF9" w:rsidRPr="00A31E56" w:rsidRDefault="00FF6DBF" w:rsidP="00A4369C">
      <w:pPr>
        <w:spacing w:after="100"/>
        <w:ind w:left="-360"/>
        <w:rPr>
          <w:rFonts w:ascii="Arial" w:hAnsi="Arial" w:cs="Arial"/>
          <w:sz w:val="20"/>
          <w:szCs w:val="20"/>
        </w:rPr>
      </w:pPr>
      <w:r>
        <w:rPr>
          <w:rFonts w:ascii="Arial" w:hAnsi="Arial" w:cs="Arial"/>
          <w:sz w:val="20"/>
          <w:szCs w:val="20"/>
        </w:rPr>
        <w:t>Yes</w:t>
      </w:r>
      <w:r w:rsidR="005115A3">
        <w:rPr>
          <w:rFonts w:ascii="Arial" w:hAnsi="Arial" w:cs="Arial"/>
          <w:sz w:val="20"/>
          <w:szCs w:val="20"/>
        </w:rPr>
        <w:t>. R</w:t>
      </w:r>
      <w:r>
        <w:rPr>
          <w:rFonts w:ascii="Arial" w:hAnsi="Arial" w:cs="Arial"/>
          <w:sz w:val="20"/>
          <w:szCs w:val="20"/>
        </w:rPr>
        <w:t xml:space="preserve">egional collaboration is strongly encouraged. </w:t>
      </w:r>
    </w:p>
    <w:p w14:paraId="07BEB3E4" w14:textId="77777777" w:rsidR="00870EF9" w:rsidRPr="00BD003B" w:rsidRDefault="00870EF9" w:rsidP="00870EF9">
      <w:pPr>
        <w:pStyle w:val="ListParagraph"/>
        <w:ind w:left="1440"/>
        <w:rPr>
          <w:rFonts w:ascii="Arial" w:hAnsi="Arial" w:cs="Arial"/>
          <w:sz w:val="28"/>
          <w:szCs w:val="28"/>
        </w:rPr>
      </w:pPr>
    </w:p>
    <w:p w14:paraId="5317F164" w14:textId="08AAE6F4" w:rsidR="00FF6DBF" w:rsidRDefault="00FF6DBF" w:rsidP="00FF6DBF">
      <w:pPr>
        <w:spacing w:after="100"/>
        <w:ind w:left="-360"/>
        <w:rPr>
          <w:rFonts w:ascii="Arial" w:hAnsi="Arial" w:cs="Arial"/>
          <w:sz w:val="20"/>
          <w:szCs w:val="20"/>
        </w:rPr>
      </w:pPr>
      <w:r w:rsidRPr="00FF6DBF">
        <w:rPr>
          <w:rFonts w:ascii="Arial Narrow" w:hAnsi="Arial Narrow"/>
          <w:b/>
          <w:bCs/>
          <w:color w:val="003865"/>
          <w:sz w:val="28"/>
          <w:szCs w:val="28"/>
        </w:rPr>
        <w:lastRenderedPageBreak/>
        <w:t xml:space="preserve">Can grant awards be amended if the project costs significantly increase from the application deadline to the point of construction? </w:t>
      </w:r>
    </w:p>
    <w:p w14:paraId="5BACD63D" w14:textId="4FF0F676" w:rsidR="00870EF9" w:rsidRPr="00A31E56" w:rsidRDefault="00354A16" w:rsidP="00A4369C">
      <w:pPr>
        <w:spacing w:after="100"/>
        <w:ind w:left="-360"/>
        <w:rPr>
          <w:rFonts w:ascii="Arial" w:hAnsi="Arial" w:cs="Arial"/>
          <w:sz w:val="20"/>
          <w:szCs w:val="20"/>
        </w:rPr>
      </w:pPr>
      <w:r>
        <w:rPr>
          <w:rFonts w:ascii="Arial" w:hAnsi="Arial" w:cs="Arial"/>
          <w:sz w:val="20"/>
          <w:szCs w:val="20"/>
        </w:rPr>
        <w:t>No</w:t>
      </w:r>
      <w:r w:rsidR="005115A3">
        <w:rPr>
          <w:rFonts w:ascii="Arial" w:hAnsi="Arial" w:cs="Arial"/>
          <w:sz w:val="20"/>
          <w:szCs w:val="20"/>
        </w:rPr>
        <w:t>.</w:t>
      </w:r>
    </w:p>
    <w:p w14:paraId="10A3D5DA" w14:textId="77777777" w:rsidR="00870EF9" w:rsidRPr="00BD003B" w:rsidRDefault="00870EF9" w:rsidP="00870EF9">
      <w:pPr>
        <w:pStyle w:val="ListParagraph"/>
        <w:ind w:left="1440"/>
        <w:rPr>
          <w:rFonts w:ascii="Arial" w:hAnsi="Arial" w:cs="Arial"/>
          <w:sz w:val="28"/>
          <w:szCs w:val="28"/>
        </w:rPr>
      </w:pPr>
    </w:p>
    <w:p w14:paraId="103A4F79" w14:textId="4B02F906" w:rsidR="00FF6DBF" w:rsidRPr="00292347" w:rsidRDefault="00FF6DBF" w:rsidP="00292347">
      <w:pPr>
        <w:spacing w:after="100"/>
        <w:ind w:left="-360"/>
        <w:rPr>
          <w:rFonts w:ascii="Arial Narrow" w:hAnsi="Arial Narrow"/>
          <w:b/>
          <w:bCs/>
          <w:color w:val="003865"/>
          <w:sz w:val="28"/>
          <w:szCs w:val="28"/>
        </w:rPr>
      </w:pPr>
      <w:r w:rsidRPr="00FF6DBF">
        <w:rPr>
          <w:rFonts w:ascii="Arial Narrow" w:hAnsi="Arial Narrow"/>
          <w:b/>
          <w:bCs/>
          <w:color w:val="003865"/>
          <w:sz w:val="28"/>
          <w:szCs w:val="28"/>
        </w:rPr>
        <w:t>Is there an opportunity for updated project costs after the grant recommendation but before KEDFA approval begins?</w:t>
      </w:r>
    </w:p>
    <w:p w14:paraId="3C01BD34" w14:textId="048A3083" w:rsidR="00870EF9" w:rsidRPr="00A31E56" w:rsidRDefault="00FF6DBF" w:rsidP="00D3722B">
      <w:pPr>
        <w:spacing w:after="100"/>
        <w:ind w:left="-360"/>
        <w:rPr>
          <w:rFonts w:ascii="Arial" w:hAnsi="Arial" w:cs="Arial"/>
          <w:sz w:val="20"/>
          <w:szCs w:val="20"/>
        </w:rPr>
      </w:pPr>
      <w:r w:rsidRPr="00FF6DBF">
        <w:rPr>
          <w:rFonts w:ascii="Arial" w:hAnsi="Arial" w:cs="Arial"/>
          <w:sz w:val="20"/>
          <w:szCs w:val="20"/>
        </w:rPr>
        <w:t xml:space="preserve">At the </w:t>
      </w:r>
      <w:r>
        <w:rPr>
          <w:rFonts w:ascii="Arial" w:hAnsi="Arial" w:cs="Arial"/>
          <w:sz w:val="20"/>
          <w:szCs w:val="20"/>
        </w:rPr>
        <w:t xml:space="preserve">conclusion </w:t>
      </w:r>
      <w:r w:rsidRPr="00FF6DBF">
        <w:rPr>
          <w:rFonts w:ascii="Arial" w:hAnsi="Arial" w:cs="Arial"/>
          <w:sz w:val="20"/>
          <w:szCs w:val="20"/>
        </w:rPr>
        <w:t xml:space="preserve">of </w:t>
      </w:r>
      <w:r w:rsidR="0008093C">
        <w:rPr>
          <w:rFonts w:ascii="Arial" w:hAnsi="Arial" w:cs="Arial"/>
          <w:sz w:val="20"/>
          <w:szCs w:val="20"/>
        </w:rPr>
        <w:t xml:space="preserve">the independent site consultant’s </w:t>
      </w:r>
      <w:r w:rsidRPr="00FF6DBF">
        <w:rPr>
          <w:rFonts w:ascii="Arial" w:hAnsi="Arial" w:cs="Arial"/>
          <w:sz w:val="20"/>
          <w:szCs w:val="20"/>
        </w:rPr>
        <w:t xml:space="preserve">review, a list of recommended projects will be provided to the Cabinet for consideration. The Cabinet has an application and approval process for projects </w:t>
      </w:r>
      <w:r>
        <w:rPr>
          <w:rFonts w:ascii="Arial" w:hAnsi="Arial" w:cs="Arial"/>
          <w:sz w:val="20"/>
          <w:szCs w:val="20"/>
        </w:rPr>
        <w:t xml:space="preserve">recommended </w:t>
      </w:r>
      <w:r w:rsidRPr="00FF6DBF">
        <w:rPr>
          <w:rFonts w:ascii="Arial" w:hAnsi="Arial" w:cs="Arial"/>
          <w:sz w:val="20"/>
          <w:szCs w:val="20"/>
        </w:rPr>
        <w:t>for grant funding. The project may update the costs of the project on the application submitted to the Cabinet</w:t>
      </w:r>
      <w:r w:rsidR="0008093C">
        <w:rPr>
          <w:rFonts w:ascii="Arial" w:hAnsi="Arial" w:cs="Arial"/>
          <w:sz w:val="20"/>
          <w:szCs w:val="20"/>
        </w:rPr>
        <w:t>, but a</w:t>
      </w:r>
      <w:r w:rsidR="0077339C">
        <w:rPr>
          <w:rFonts w:ascii="Arial" w:hAnsi="Arial" w:cs="Arial"/>
          <w:sz w:val="20"/>
          <w:szCs w:val="20"/>
        </w:rPr>
        <w:t xml:space="preserve"> request to</w:t>
      </w:r>
      <w:r w:rsidR="0008093C">
        <w:rPr>
          <w:rFonts w:ascii="Arial" w:hAnsi="Arial" w:cs="Arial"/>
          <w:sz w:val="20"/>
          <w:szCs w:val="20"/>
        </w:rPr>
        <w:t xml:space="preserve"> increase the</w:t>
      </w:r>
      <w:r w:rsidR="0077339C">
        <w:rPr>
          <w:rFonts w:ascii="Arial" w:hAnsi="Arial" w:cs="Arial"/>
          <w:sz w:val="20"/>
          <w:szCs w:val="20"/>
        </w:rPr>
        <w:t xml:space="preserve"> grant</w:t>
      </w:r>
      <w:r w:rsidR="0008093C">
        <w:rPr>
          <w:rFonts w:ascii="Arial" w:hAnsi="Arial" w:cs="Arial"/>
          <w:sz w:val="20"/>
          <w:szCs w:val="20"/>
        </w:rPr>
        <w:t xml:space="preserve"> funding amount </w:t>
      </w:r>
      <w:r w:rsidR="0077339C">
        <w:rPr>
          <w:rFonts w:ascii="Arial" w:hAnsi="Arial" w:cs="Arial"/>
          <w:sz w:val="20"/>
          <w:szCs w:val="20"/>
        </w:rPr>
        <w:t>cannot be made.</w:t>
      </w:r>
    </w:p>
    <w:p w14:paraId="3B6B4841" w14:textId="17DBBC55" w:rsidR="00870EF9" w:rsidRPr="00BD003B" w:rsidRDefault="00870EF9" w:rsidP="00870EF9">
      <w:pPr>
        <w:pStyle w:val="ListParagraph"/>
        <w:ind w:left="1440"/>
        <w:rPr>
          <w:rFonts w:ascii="Arial" w:hAnsi="Arial" w:cs="Arial"/>
          <w:sz w:val="28"/>
          <w:szCs w:val="28"/>
        </w:rPr>
      </w:pPr>
    </w:p>
    <w:p w14:paraId="2E42193C" w14:textId="66B10AFB" w:rsidR="00A4369C" w:rsidRDefault="00A4369C" w:rsidP="00A4369C">
      <w:pPr>
        <w:spacing w:after="100"/>
        <w:ind w:left="-360"/>
        <w:rPr>
          <w:rFonts w:ascii="Arial" w:hAnsi="Arial" w:cs="Arial"/>
          <w:sz w:val="20"/>
          <w:szCs w:val="20"/>
        </w:rPr>
      </w:pPr>
      <w:r w:rsidRPr="00A4369C">
        <w:rPr>
          <w:rFonts w:ascii="Arial Narrow" w:hAnsi="Arial Narrow"/>
          <w:b/>
          <w:bCs/>
          <w:color w:val="003865"/>
          <w:sz w:val="28"/>
          <w:szCs w:val="28"/>
        </w:rPr>
        <w:t xml:space="preserve">How is utility adequacy </w:t>
      </w:r>
      <w:proofErr w:type="gramStart"/>
      <w:r w:rsidRPr="00A4369C">
        <w:rPr>
          <w:rFonts w:ascii="Arial Narrow" w:hAnsi="Arial Narrow"/>
          <w:b/>
          <w:bCs/>
          <w:color w:val="003865"/>
          <w:sz w:val="28"/>
          <w:szCs w:val="28"/>
        </w:rPr>
        <w:t>taken into account</w:t>
      </w:r>
      <w:proofErr w:type="gramEnd"/>
      <w:r w:rsidRPr="00A4369C">
        <w:rPr>
          <w:rFonts w:ascii="Arial Narrow" w:hAnsi="Arial Narrow"/>
          <w:b/>
          <w:bCs/>
          <w:color w:val="003865"/>
          <w:sz w:val="28"/>
          <w:szCs w:val="28"/>
        </w:rPr>
        <w:t xml:space="preserve"> in the scoring process?</w:t>
      </w:r>
    </w:p>
    <w:p w14:paraId="3B25BF2F" w14:textId="121FA174" w:rsidR="00870EF9" w:rsidRPr="00A31E56" w:rsidRDefault="00A4369C" w:rsidP="00A4369C">
      <w:pPr>
        <w:spacing w:after="100"/>
        <w:ind w:left="-360"/>
        <w:rPr>
          <w:rFonts w:ascii="Arial" w:hAnsi="Arial" w:cs="Arial"/>
          <w:sz w:val="20"/>
          <w:szCs w:val="20"/>
        </w:rPr>
      </w:pPr>
      <w:r w:rsidRPr="00A4369C">
        <w:rPr>
          <w:rFonts w:ascii="Arial" w:hAnsi="Arial" w:cs="Arial"/>
          <w:sz w:val="20"/>
          <w:szCs w:val="20"/>
        </w:rPr>
        <w:t xml:space="preserve">The </w:t>
      </w:r>
      <w:r w:rsidR="000E7FA7">
        <w:rPr>
          <w:rFonts w:ascii="Arial" w:hAnsi="Arial" w:cs="Arial"/>
          <w:sz w:val="20"/>
          <w:szCs w:val="20"/>
        </w:rPr>
        <w:t xml:space="preserve">legislation </w:t>
      </w:r>
      <w:r w:rsidRPr="00A4369C">
        <w:rPr>
          <w:rFonts w:ascii="Arial" w:hAnsi="Arial" w:cs="Arial"/>
          <w:sz w:val="20"/>
          <w:szCs w:val="20"/>
        </w:rPr>
        <w:t>states</w:t>
      </w:r>
      <w:r w:rsidR="0077339C">
        <w:rPr>
          <w:rFonts w:ascii="Arial" w:hAnsi="Arial" w:cs="Arial"/>
          <w:sz w:val="20"/>
          <w:szCs w:val="20"/>
        </w:rPr>
        <w:t xml:space="preserve"> that</w:t>
      </w:r>
      <w:r w:rsidRPr="00A4369C">
        <w:rPr>
          <w:rFonts w:ascii="Arial" w:hAnsi="Arial" w:cs="Arial"/>
          <w:sz w:val="20"/>
          <w:szCs w:val="20"/>
        </w:rPr>
        <w:t xml:space="preserve"> the property the </w:t>
      </w:r>
      <w:r w:rsidR="0077339C">
        <w:rPr>
          <w:rFonts w:ascii="Arial" w:hAnsi="Arial" w:cs="Arial"/>
          <w:sz w:val="20"/>
          <w:szCs w:val="20"/>
        </w:rPr>
        <w:t>E</w:t>
      </w:r>
      <w:r w:rsidRPr="00A4369C">
        <w:rPr>
          <w:rFonts w:ascii="Arial" w:hAnsi="Arial" w:cs="Arial"/>
          <w:sz w:val="20"/>
          <w:szCs w:val="20"/>
        </w:rPr>
        <w:t xml:space="preserve">ligible </w:t>
      </w:r>
      <w:r w:rsidR="0077339C">
        <w:rPr>
          <w:rFonts w:ascii="Arial" w:hAnsi="Arial" w:cs="Arial"/>
          <w:sz w:val="20"/>
          <w:szCs w:val="20"/>
        </w:rPr>
        <w:t>P</w:t>
      </w:r>
      <w:r w:rsidRPr="00A4369C">
        <w:rPr>
          <w:rFonts w:ascii="Arial" w:hAnsi="Arial" w:cs="Arial"/>
          <w:sz w:val="20"/>
          <w:szCs w:val="20"/>
        </w:rPr>
        <w:t>roject occupies or is proposed to occupy shall have access to adequate utilities and shall be served or able to be served by the following:</w:t>
      </w:r>
      <w:r w:rsidR="0008093C">
        <w:rPr>
          <w:rFonts w:ascii="Arial" w:hAnsi="Arial" w:cs="Arial"/>
          <w:sz w:val="20"/>
          <w:szCs w:val="20"/>
        </w:rPr>
        <w:t xml:space="preserve"> </w:t>
      </w:r>
      <w:r w:rsidRPr="00A4369C">
        <w:rPr>
          <w:rFonts w:ascii="Arial" w:hAnsi="Arial" w:cs="Arial"/>
          <w:sz w:val="20"/>
          <w:szCs w:val="20"/>
        </w:rPr>
        <w:t xml:space="preserve"> </w:t>
      </w:r>
      <w:r w:rsidR="0008093C">
        <w:rPr>
          <w:rFonts w:ascii="Arial" w:hAnsi="Arial" w:cs="Arial"/>
          <w:sz w:val="20"/>
          <w:szCs w:val="20"/>
        </w:rPr>
        <w:t>i) e</w:t>
      </w:r>
      <w:r w:rsidRPr="00A4369C">
        <w:rPr>
          <w:rFonts w:ascii="Arial" w:hAnsi="Arial" w:cs="Arial"/>
          <w:sz w:val="20"/>
          <w:szCs w:val="20"/>
        </w:rPr>
        <w:t xml:space="preserve">lectric </w:t>
      </w:r>
      <w:r w:rsidR="0008093C">
        <w:rPr>
          <w:rFonts w:ascii="Arial" w:hAnsi="Arial" w:cs="Arial"/>
          <w:sz w:val="20"/>
          <w:szCs w:val="20"/>
        </w:rPr>
        <w:t>i</w:t>
      </w:r>
      <w:r w:rsidRPr="00A4369C">
        <w:rPr>
          <w:rFonts w:ascii="Arial" w:hAnsi="Arial" w:cs="Arial"/>
          <w:sz w:val="20"/>
          <w:szCs w:val="20"/>
        </w:rPr>
        <w:t xml:space="preserve">nfrastructure, </w:t>
      </w:r>
      <w:r w:rsidR="0008093C">
        <w:rPr>
          <w:rFonts w:ascii="Arial" w:hAnsi="Arial" w:cs="Arial"/>
          <w:sz w:val="20"/>
          <w:szCs w:val="20"/>
        </w:rPr>
        <w:t>ii) n</w:t>
      </w:r>
      <w:r w:rsidRPr="00A4369C">
        <w:rPr>
          <w:rFonts w:ascii="Arial" w:hAnsi="Arial" w:cs="Arial"/>
          <w:sz w:val="20"/>
          <w:szCs w:val="20"/>
        </w:rPr>
        <w:t xml:space="preserve">atural </w:t>
      </w:r>
      <w:r w:rsidR="0008093C">
        <w:rPr>
          <w:rFonts w:ascii="Arial" w:hAnsi="Arial" w:cs="Arial"/>
          <w:sz w:val="20"/>
          <w:szCs w:val="20"/>
        </w:rPr>
        <w:t>g</w:t>
      </w:r>
      <w:r w:rsidRPr="00A4369C">
        <w:rPr>
          <w:rFonts w:ascii="Arial" w:hAnsi="Arial" w:cs="Arial"/>
          <w:sz w:val="20"/>
          <w:szCs w:val="20"/>
        </w:rPr>
        <w:t xml:space="preserve">as, </w:t>
      </w:r>
      <w:r w:rsidR="0008093C">
        <w:rPr>
          <w:rFonts w:ascii="Arial" w:hAnsi="Arial" w:cs="Arial"/>
          <w:sz w:val="20"/>
          <w:szCs w:val="20"/>
        </w:rPr>
        <w:t>iii) w</w:t>
      </w:r>
      <w:r w:rsidRPr="00A4369C">
        <w:rPr>
          <w:rFonts w:ascii="Arial" w:hAnsi="Arial" w:cs="Arial"/>
          <w:sz w:val="20"/>
          <w:szCs w:val="20"/>
        </w:rPr>
        <w:t xml:space="preserve">ater infrastructure and a public water system, </w:t>
      </w:r>
      <w:r w:rsidR="004061DE">
        <w:rPr>
          <w:rFonts w:ascii="Arial" w:hAnsi="Arial" w:cs="Arial"/>
          <w:sz w:val="20"/>
          <w:szCs w:val="20"/>
        </w:rPr>
        <w:t>iv) w</w:t>
      </w:r>
      <w:r w:rsidRPr="00A4369C">
        <w:rPr>
          <w:rFonts w:ascii="Arial" w:hAnsi="Arial" w:cs="Arial"/>
          <w:sz w:val="20"/>
          <w:szCs w:val="20"/>
        </w:rPr>
        <w:t xml:space="preserve">astewater infrastructure and a public wastewater treatment plant, excluding septic wastewater treatment system, and </w:t>
      </w:r>
      <w:r w:rsidR="006E402F">
        <w:rPr>
          <w:rFonts w:ascii="Arial" w:hAnsi="Arial" w:cs="Arial"/>
          <w:sz w:val="20"/>
          <w:szCs w:val="20"/>
        </w:rPr>
        <w:t>v) f</w:t>
      </w:r>
      <w:r w:rsidRPr="00A4369C">
        <w:rPr>
          <w:rFonts w:ascii="Arial" w:hAnsi="Arial" w:cs="Arial"/>
          <w:sz w:val="20"/>
          <w:szCs w:val="20"/>
        </w:rPr>
        <w:t>iber telecommunications infrastructure.</w:t>
      </w:r>
      <w:r w:rsidR="00143A69">
        <w:rPr>
          <w:rFonts w:ascii="Arial" w:hAnsi="Arial" w:cs="Arial"/>
          <w:sz w:val="20"/>
          <w:szCs w:val="20"/>
        </w:rPr>
        <w:t xml:space="preserve"> </w:t>
      </w:r>
    </w:p>
    <w:p w14:paraId="322439E7" w14:textId="77777777" w:rsidR="00870EF9" w:rsidRPr="00BD003B" w:rsidRDefault="00870EF9" w:rsidP="00870EF9">
      <w:pPr>
        <w:pStyle w:val="ListParagraph"/>
        <w:ind w:left="1440"/>
        <w:rPr>
          <w:rFonts w:ascii="Arial" w:hAnsi="Arial" w:cs="Arial"/>
          <w:sz w:val="28"/>
          <w:szCs w:val="28"/>
        </w:rPr>
      </w:pPr>
    </w:p>
    <w:p w14:paraId="3406C387" w14:textId="77777777" w:rsidR="00D3722B" w:rsidRDefault="00D3722B" w:rsidP="003F3F4D">
      <w:pPr>
        <w:ind w:left="-360"/>
        <w:rPr>
          <w:rFonts w:ascii="Arial Narrow" w:hAnsi="Arial Narrow"/>
          <w:b/>
          <w:bCs/>
          <w:color w:val="003865"/>
          <w:sz w:val="28"/>
          <w:szCs w:val="28"/>
        </w:rPr>
      </w:pPr>
      <w:bookmarkStart w:id="0" w:name="_Hlk77581097"/>
    </w:p>
    <w:p w14:paraId="0BAFA0A1" w14:textId="5A52C2C4" w:rsidR="00362A75" w:rsidRPr="00292347" w:rsidRDefault="00415EC4" w:rsidP="003F3F4D">
      <w:pPr>
        <w:ind w:left="-360"/>
        <w:rPr>
          <w:rFonts w:ascii="Arial Narrow" w:hAnsi="Arial Narrow"/>
          <w:b/>
          <w:bCs/>
          <w:i/>
          <w:iCs/>
          <w:color w:val="003865"/>
          <w:sz w:val="28"/>
          <w:szCs w:val="28"/>
        </w:rPr>
      </w:pPr>
      <w:r w:rsidRPr="00292347">
        <w:rPr>
          <w:rFonts w:ascii="Arial Narrow" w:hAnsi="Arial Narrow"/>
          <w:b/>
          <w:bCs/>
          <w:color w:val="003865"/>
          <w:sz w:val="28"/>
          <w:szCs w:val="28"/>
        </w:rPr>
        <w:t>Fact Sheet</w:t>
      </w:r>
    </w:p>
    <w:p w14:paraId="71F247DE" w14:textId="21136B14" w:rsidR="00E36042" w:rsidRDefault="000461DB" w:rsidP="00895CBE">
      <w:pPr>
        <w:ind w:left="-360"/>
        <w:rPr>
          <w:rFonts w:ascii="Arial" w:hAnsi="Arial" w:cs="Arial"/>
          <w:color w:val="000000"/>
          <w:sz w:val="20"/>
          <w:szCs w:val="20"/>
        </w:rPr>
      </w:pPr>
      <w:r>
        <w:rPr>
          <w:rFonts w:ascii="Arial" w:hAnsi="Arial" w:cs="Arial"/>
          <w:color w:val="000000"/>
          <w:spacing w:val="-2"/>
          <w:sz w:val="20"/>
          <w:szCs w:val="20"/>
        </w:rPr>
        <w:t>See</w:t>
      </w:r>
      <w:r w:rsidR="003F3F4D">
        <w:rPr>
          <w:rFonts w:ascii="Arial" w:hAnsi="Arial" w:cs="Arial"/>
          <w:color w:val="000000"/>
          <w:spacing w:val="-2"/>
          <w:sz w:val="20"/>
          <w:szCs w:val="20"/>
        </w:rPr>
        <w:t xml:space="preserve"> </w:t>
      </w:r>
      <w:hyperlink r:id="rId8" w:history="1">
        <w:r w:rsidR="002B202F" w:rsidRPr="003F3F4D">
          <w:rPr>
            <w:rStyle w:val="Hyperlink"/>
            <w:rFonts w:ascii="Arial" w:hAnsi="Arial" w:cs="Arial"/>
            <w:spacing w:val="-2"/>
            <w:sz w:val="20"/>
            <w:szCs w:val="20"/>
          </w:rPr>
          <w:t>https://cedky.com/cdn/11202_PDI_Fact_Sheet_7-2022_Final.pdf</w:t>
        </w:r>
      </w:hyperlink>
      <w:r w:rsidR="006359F8" w:rsidRPr="00462ABC">
        <w:rPr>
          <w:rFonts w:ascii="Arial" w:hAnsi="Arial" w:cs="Arial"/>
          <w:color w:val="000000"/>
          <w:spacing w:val="-2"/>
          <w:sz w:val="20"/>
          <w:szCs w:val="20"/>
        </w:rPr>
        <w:t xml:space="preserve"> </w:t>
      </w:r>
      <w:r>
        <w:rPr>
          <w:rFonts w:ascii="Arial" w:hAnsi="Arial" w:cs="Arial"/>
          <w:spacing w:val="-2"/>
          <w:sz w:val="20"/>
          <w:szCs w:val="20"/>
        </w:rPr>
        <w:t xml:space="preserve">for </w:t>
      </w:r>
      <w:r w:rsidR="00415EC4">
        <w:rPr>
          <w:rFonts w:ascii="Arial" w:hAnsi="Arial" w:cs="Arial"/>
          <w:spacing w:val="-2"/>
          <w:sz w:val="20"/>
          <w:szCs w:val="20"/>
        </w:rPr>
        <w:t xml:space="preserve">the </w:t>
      </w:r>
      <w:r w:rsidR="002B202F">
        <w:rPr>
          <w:rFonts w:ascii="Arial" w:hAnsi="Arial" w:cs="Arial"/>
          <w:spacing w:val="-2"/>
          <w:sz w:val="20"/>
          <w:szCs w:val="20"/>
        </w:rPr>
        <w:t>KPDI Fa</w:t>
      </w:r>
      <w:r w:rsidR="00415EC4">
        <w:rPr>
          <w:rFonts w:ascii="Arial" w:hAnsi="Arial" w:cs="Arial"/>
          <w:spacing w:val="-2"/>
          <w:sz w:val="20"/>
          <w:szCs w:val="20"/>
        </w:rPr>
        <w:t>ct Sheet</w:t>
      </w:r>
      <w:r>
        <w:rPr>
          <w:rFonts w:ascii="Arial" w:hAnsi="Arial" w:cs="Arial"/>
          <w:spacing w:val="-2"/>
          <w:sz w:val="20"/>
          <w:szCs w:val="20"/>
        </w:rPr>
        <w:t>.</w:t>
      </w:r>
      <w:r w:rsidR="00362A75" w:rsidRPr="00362A75">
        <w:rPr>
          <w:rFonts w:ascii="Arial" w:hAnsi="Arial" w:cs="Arial"/>
          <w:color w:val="000000"/>
          <w:sz w:val="20"/>
          <w:szCs w:val="20"/>
        </w:rPr>
        <w:t xml:space="preserve"> </w:t>
      </w:r>
      <w:bookmarkEnd w:id="0"/>
    </w:p>
    <w:p w14:paraId="00FFA886" w14:textId="77777777" w:rsidR="00C0353C" w:rsidRDefault="00C0353C" w:rsidP="00895CBE">
      <w:pPr>
        <w:ind w:left="-360"/>
        <w:rPr>
          <w:rFonts w:ascii="Arial" w:hAnsi="Arial" w:cs="Arial"/>
          <w:color w:val="000000"/>
          <w:sz w:val="20"/>
          <w:szCs w:val="20"/>
        </w:rPr>
      </w:pPr>
    </w:p>
    <w:p w14:paraId="4B0FE696" w14:textId="5CBA54AC" w:rsidR="00CB544E" w:rsidRDefault="00CB544E" w:rsidP="00415EC4">
      <w:pPr>
        <w:spacing w:after="100"/>
        <w:ind w:left="-360"/>
        <w:rPr>
          <w:rFonts w:ascii="Arial" w:hAnsi="Arial" w:cs="Arial"/>
          <w:color w:val="000000"/>
          <w:sz w:val="20"/>
          <w:szCs w:val="20"/>
          <w:lang w:val="en-CA"/>
        </w:rPr>
      </w:pPr>
      <w:r w:rsidRPr="00410962">
        <w:rPr>
          <w:rFonts w:ascii="Arial" w:hAnsi="Arial" w:cs="Arial"/>
          <w:noProof/>
          <w:color w:val="000000"/>
          <w:sz w:val="20"/>
          <w:szCs w:val="20"/>
        </w:rPr>
        <mc:AlternateContent>
          <mc:Choice Requires="wps">
            <w:drawing>
              <wp:anchor distT="0" distB="0" distL="114300" distR="114300" simplePos="0" relativeHeight="251661312" behindDoc="0" locked="0" layoutInCell="1" allowOverlap="1" wp14:anchorId="1A8BC8BF" wp14:editId="54D5A30A">
                <wp:simplePos x="0" y="0"/>
                <wp:positionH relativeFrom="column">
                  <wp:posOffset>5379988</wp:posOffset>
                </wp:positionH>
                <wp:positionV relativeFrom="paragraph">
                  <wp:posOffset>106723</wp:posOffset>
                </wp:positionV>
                <wp:extent cx="5715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571500" cy="0"/>
                        </a:xfrm>
                        <a:prstGeom prst="line">
                          <a:avLst/>
                        </a:prstGeom>
                        <a:ln w="19050">
                          <a:solidFill>
                            <a:srgbClr val="62B5E5"/>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DEB4C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6pt,8.4pt" to="46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" strokecolor="#62b5e5" strokeweight="1.5pt">
                <v:stroke dashstyle="1 1" joinstyle="miter"/>
              </v:line>
            </w:pict>
          </mc:Fallback>
        </mc:AlternateContent>
      </w:r>
    </w:p>
    <w:p w14:paraId="3C0DED6C" w14:textId="14E8C1F5" w:rsidR="00CB544E" w:rsidRPr="00410962" w:rsidRDefault="00CB544E" w:rsidP="00CB544E">
      <w:pPr>
        <w:widowControl w:val="0"/>
        <w:suppressAutoHyphens/>
        <w:autoSpaceDE w:val="0"/>
        <w:autoSpaceDN w:val="0"/>
        <w:adjustRightInd w:val="0"/>
        <w:ind w:left="-360"/>
        <w:jc w:val="right"/>
        <w:textAlignment w:val="center"/>
        <w:rPr>
          <w:rFonts w:ascii="Arial" w:hAnsi="Arial" w:cs="Arial"/>
          <w:color w:val="000000"/>
          <w:sz w:val="20"/>
          <w:szCs w:val="20"/>
          <w:lang w:val="en-CA"/>
        </w:rPr>
      </w:pPr>
      <w:r w:rsidRPr="00410962">
        <w:rPr>
          <w:rFonts w:ascii="Arial" w:hAnsi="Arial" w:cs="Arial"/>
          <w:color w:val="000000"/>
          <w:sz w:val="20"/>
          <w:szCs w:val="20"/>
          <w:lang w:val="en-CA"/>
        </w:rPr>
        <w:t>To learn more, contact:</w:t>
      </w:r>
      <w:r w:rsidRPr="00410962">
        <w:rPr>
          <w:rFonts w:ascii="Arial" w:hAnsi="Arial" w:cs="Arial"/>
          <w:color w:val="000000"/>
          <w:sz w:val="20"/>
          <w:szCs w:val="20"/>
          <w:lang w:val="en-CA"/>
        </w:rPr>
        <w:br/>
      </w:r>
      <w:r w:rsidR="002B202F">
        <w:rPr>
          <w:rFonts w:ascii="Arial" w:hAnsi="Arial" w:cs="Arial"/>
          <w:color w:val="000000"/>
          <w:sz w:val="20"/>
          <w:szCs w:val="20"/>
          <w:lang w:val="en-CA"/>
        </w:rPr>
        <w:t>Sarah Butler</w:t>
      </w:r>
    </w:p>
    <w:p w14:paraId="7D5A2C69" w14:textId="1575240B" w:rsidR="00CB544E" w:rsidRPr="007E3E26" w:rsidRDefault="005809E3" w:rsidP="00CB544E">
      <w:pPr>
        <w:widowControl w:val="0"/>
        <w:suppressAutoHyphens/>
        <w:autoSpaceDE w:val="0"/>
        <w:autoSpaceDN w:val="0"/>
        <w:adjustRightInd w:val="0"/>
        <w:ind w:left="-360"/>
        <w:jc w:val="right"/>
        <w:textAlignment w:val="center"/>
        <w:rPr>
          <w:rStyle w:val="Hyperlink"/>
          <w:rFonts w:ascii="Arial" w:hAnsi="Arial" w:cs="Arial"/>
          <w:color w:val="5EB3E4"/>
          <w:sz w:val="20"/>
          <w:szCs w:val="20"/>
          <w:lang w:val="en-CA"/>
        </w:rPr>
      </w:pPr>
      <w:hyperlink r:id="rId9" w:history="1">
        <w:r w:rsidR="002B202F" w:rsidRPr="002B202F">
          <w:rPr>
            <w:rStyle w:val="Hyperlink"/>
            <w:rFonts w:ascii="Arial" w:hAnsi="Arial" w:cs="Arial"/>
            <w:sz w:val="20"/>
            <w:szCs w:val="20"/>
            <w:lang w:val="en-CA"/>
          </w:rPr>
          <w:t>Sarah.Butler@ky.gov</w:t>
        </w:r>
      </w:hyperlink>
    </w:p>
    <w:p w14:paraId="745AF9F3" w14:textId="209A274B" w:rsidR="00EB1F1E" w:rsidRPr="00EB1F1E" w:rsidRDefault="002D7C6C" w:rsidP="003D79C8">
      <w:pPr>
        <w:widowControl w:val="0"/>
        <w:suppressAutoHyphens/>
        <w:autoSpaceDE w:val="0"/>
        <w:autoSpaceDN w:val="0"/>
        <w:adjustRightInd w:val="0"/>
        <w:ind w:left="-360"/>
        <w:jc w:val="right"/>
        <w:textAlignment w:val="center"/>
        <w:rPr>
          <w:rFonts w:ascii="Arial" w:hAnsi="Arial" w:cs="Arial"/>
        </w:rPr>
      </w:pPr>
      <w:r w:rsidRPr="00410962">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33AC40A8" wp14:editId="1D0ACF3B">
                <wp:simplePos x="0" y="0"/>
                <wp:positionH relativeFrom="column">
                  <wp:posOffset>5372735</wp:posOffset>
                </wp:positionH>
                <wp:positionV relativeFrom="paragraph">
                  <wp:posOffset>240030</wp:posOffset>
                </wp:positionV>
                <wp:extent cx="571500" cy="0"/>
                <wp:effectExtent l="0" t="0" r="0" b="19050"/>
                <wp:wrapNone/>
                <wp:docPr id="13" name="Straight Connector 13"/>
                <wp:cNvGraphicFramePr/>
                <a:graphic xmlns:a="http://schemas.openxmlformats.org/drawingml/2006/main">
                  <a:graphicData uri="http://schemas.microsoft.com/office/word/2010/wordprocessingShape">
                    <wps:wsp>
                      <wps:cNvCnPr/>
                      <wps:spPr>
                        <a:xfrm>
                          <a:off x="0" y="0"/>
                          <a:ext cx="571500" cy="0"/>
                        </a:xfrm>
                        <a:prstGeom prst="line">
                          <a:avLst/>
                        </a:prstGeom>
                        <a:ln w="19050">
                          <a:solidFill>
                            <a:srgbClr val="5EB3E4"/>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E5A64D"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05pt,18.9pt" to="468.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" strokecolor="#5eb3e4" strokeweight="1.5pt">
                <v:stroke dashstyle="1 1" joinstyle="miter"/>
              </v:line>
            </w:pict>
          </mc:Fallback>
        </mc:AlternateContent>
      </w:r>
      <w:r w:rsidR="00CB544E" w:rsidRPr="00410962">
        <w:rPr>
          <w:rFonts w:ascii="Arial" w:hAnsi="Arial" w:cs="Arial"/>
          <w:color w:val="000000"/>
          <w:sz w:val="20"/>
          <w:szCs w:val="20"/>
          <w:lang w:val="en-CA"/>
        </w:rPr>
        <w:t xml:space="preserve">Phone: (502) </w:t>
      </w:r>
      <w:r w:rsidR="002B202F">
        <w:rPr>
          <w:rFonts w:ascii="Arial" w:hAnsi="Arial" w:cs="Arial"/>
          <w:color w:val="000000"/>
          <w:sz w:val="20"/>
          <w:szCs w:val="20"/>
          <w:lang w:val="en-CA"/>
        </w:rPr>
        <w:t>564</w:t>
      </w:r>
      <w:r w:rsidR="00CB544E" w:rsidRPr="00410962">
        <w:rPr>
          <w:rFonts w:ascii="Arial" w:hAnsi="Arial" w:cs="Arial"/>
          <w:color w:val="000000"/>
          <w:sz w:val="20"/>
          <w:szCs w:val="20"/>
          <w:lang w:val="en-CA"/>
        </w:rPr>
        <w:t>-</w:t>
      </w:r>
      <w:r w:rsidR="002B202F">
        <w:rPr>
          <w:rFonts w:ascii="Arial" w:hAnsi="Arial" w:cs="Arial"/>
          <w:color w:val="000000"/>
          <w:sz w:val="20"/>
          <w:szCs w:val="20"/>
          <w:lang w:val="en-CA"/>
        </w:rPr>
        <w:t>7670</w:t>
      </w:r>
      <w:r>
        <w:rPr>
          <w:rFonts w:ascii="Arial" w:hAnsi="Arial" w:cs="Arial"/>
          <w:color w:val="000000"/>
          <w:sz w:val="20"/>
          <w:szCs w:val="20"/>
          <w:lang w:val="en-CA"/>
        </w:rPr>
        <w:softHyphen/>
      </w:r>
      <w:r>
        <w:rPr>
          <w:rFonts w:ascii="Arial" w:hAnsi="Arial" w:cs="Arial"/>
          <w:color w:val="000000"/>
          <w:sz w:val="20"/>
          <w:szCs w:val="20"/>
          <w:lang w:val="en-CA"/>
        </w:rPr>
        <w:softHyphen/>
      </w:r>
      <w:r>
        <w:rPr>
          <w:rFonts w:ascii="Arial" w:hAnsi="Arial" w:cs="Arial"/>
          <w:color w:val="000000"/>
          <w:sz w:val="20"/>
          <w:szCs w:val="20"/>
          <w:lang w:val="en-CA"/>
        </w:rPr>
        <w:softHyphen/>
      </w:r>
      <w:r>
        <w:rPr>
          <w:rFonts w:ascii="Arial" w:hAnsi="Arial" w:cs="Arial"/>
          <w:color w:val="000000"/>
          <w:sz w:val="20"/>
          <w:szCs w:val="20"/>
          <w:lang w:val="en-CA"/>
        </w:rPr>
        <w:softHyphen/>
      </w:r>
    </w:p>
    <w:sectPr w:rsidR="00EB1F1E" w:rsidRPr="00EB1F1E" w:rsidSect="00700A52">
      <w:headerReference w:type="default" r:id="rId10"/>
      <w:footerReference w:type="even" r:id="rId11"/>
      <w:footerReference w:type="default" r:id="rId12"/>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8FDF" w14:textId="77777777" w:rsidR="00964C29" w:rsidRDefault="00964C29" w:rsidP="00194680">
      <w:r>
        <w:separator/>
      </w:r>
    </w:p>
  </w:endnote>
  <w:endnote w:type="continuationSeparator" w:id="0">
    <w:p w14:paraId="2B0A09DD" w14:textId="77777777" w:rsidR="00964C29" w:rsidRDefault="00964C29" w:rsidP="0019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useoSansRounded-300">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3699288"/>
      <w:docPartObj>
        <w:docPartGallery w:val="Page Numbers (Bottom of Page)"/>
        <w:docPartUnique/>
      </w:docPartObj>
    </w:sdtPr>
    <w:sdtEndPr>
      <w:rPr>
        <w:rStyle w:val="PageNumber"/>
      </w:rPr>
    </w:sdtEndPr>
    <w:sdtContent>
      <w:p w14:paraId="7E123DA6" w14:textId="77777777" w:rsidR="00194680" w:rsidRDefault="00194680" w:rsidP="00AD4E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D40F6E" w14:textId="77777777" w:rsidR="00194680" w:rsidRDefault="00194680" w:rsidP="001946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7558760"/>
      <w:docPartObj>
        <w:docPartGallery w:val="Page Numbers (Bottom of Page)"/>
        <w:docPartUnique/>
      </w:docPartObj>
    </w:sdtPr>
    <w:sdtEndPr>
      <w:rPr>
        <w:rStyle w:val="PageNumber"/>
      </w:rPr>
    </w:sdtEndPr>
    <w:sdtContent>
      <w:p w14:paraId="2D136B0D" w14:textId="1F1F8F75" w:rsidR="00194680" w:rsidRDefault="00194680" w:rsidP="00194680">
        <w:pPr>
          <w:pStyle w:val="Footer"/>
          <w:framePr w:wrap="none" w:vAnchor="text" w:hAnchor="page" w:x="10621" w:y="-6"/>
          <w:rPr>
            <w:rStyle w:val="PageNumber"/>
          </w:rPr>
        </w:pPr>
        <w:r>
          <w:rPr>
            <w:rStyle w:val="PageNumber"/>
          </w:rPr>
          <w:fldChar w:fldCharType="begin"/>
        </w:r>
        <w:r>
          <w:rPr>
            <w:rStyle w:val="PageNumber"/>
          </w:rPr>
          <w:instrText xml:space="preserve"> PAGE </w:instrText>
        </w:r>
        <w:r>
          <w:rPr>
            <w:rStyle w:val="PageNumber"/>
          </w:rPr>
          <w:fldChar w:fldCharType="separate"/>
        </w:r>
        <w:r w:rsidR="002C3ECC">
          <w:rPr>
            <w:rStyle w:val="PageNumber"/>
            <w:noProof/>
          </w:rPr>
          <w:t>1</w:t>
        </w:r>
        <w:r>
          <w:rPr>
            <w:rStyle w:val="PageNumber"/>
          </w:rPr>
          <w:fldChar w:fldCharType="end"/>
        </w:r>
      </w:p>
    </w:sdtContent>
  </w:sdt>
  <w:p w14:paraId="5CFE8EF0" w14:textId="77777777" w:rsidR="00194680" w:rsidRDefault="00194680" w:rsidP="00194680">
    <w:pPr>
      <w:pStyle w:val="Footer"/>
      <w:ind w:right="360"/>
    </w:pPr>
    <w:r w:rsidRPr="00194680">
      <w:rPr>
        <w:noProof/>
      </w:rPr>
      <mc:AlternateContent>
        <mc:Choice Requires="wps">
          <w:drawing>
            <wp:anchor distT="0" distB="0" distL="114300" distR="114300" simplePos="0" relativeHeight="251657728" behindDoc="0" locked="0" layoutInCell="1" allowOverlap="1" wp14:anchorId="1E66B30F" wp14:editId="64F00E4E">
              <wp:simplePos x="0" y="0"/>
              <wp:positionH relativeFrom="column">
                <wp:posOffset>-520700</wp:posOffset>
              </wp:positionH>
              <wp:positionV relativeFrom="page">
                <wp:posOffset>9288145</wp:posOffset>
              </wp:positionV>
              <wp:extent cx="3886200" cy="25400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25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2856B7" w14:textId="77777777" w:rsidR="00194680" w:rsidRPr="00194680" w:rsidRDefault="00194680" w:rsidP="00194680">
                          <w:pPr>
                            <w:widowControl w:val="0"/>
                            <w:autoSpaceDE w:val="0"/>
                            <w:autoSpaceDN w:val="0"/>
                            <w:adjustRightInd w:val="0"/>
                            <w:spacing w:line="288" w:lineRule="auto"/>
                            <w:textAlignment w:val="center"/>
                            <w:rPr>
                              <w:rFonts w:ascii="Arial" w:hAnsi="Arial" w:cs="Arial"/>
                              <w:color w:val="595959"/>
                              <w:spacing w:val="-2"/>
                              <w:sz w:val="16"/>
                              <w:szCs w:val="16"/>
                            </w:rPr>
                          </w:pPr>
                          <w:r w:rsidRPr="00194680">
                            <w:rPr>
                              <w:rFonts w:ascii="Arial" w:hAnsi="Arial" w:cs="Arial"/>
                              <w:color w:val="595959"/>
                              <w:spacing w:val="-2"/>
                              <w:sz w:val="16"/>
                              <w:szCs w:val="16"/>
                            </w:rPr>
                            <w:t xml:space="preserve">300 W. Broadway • Frankfort, KY </w:t>
                          </w:r>
                          <w:proofErr w:type="gramStart"/>
                          <w:r w:rsidRPr="00194680">
                            <w:rPr>
                              <w:rFonts w:ascii="Arial" w:hAnsi="Arial" w:cs="Arial"/>
                              <w:color w:val="595959"/>
                              <w:spacing w:val="-2"/>
                              <w:sz w:val="16"/>
                              <w:szCs w:val="16"/>
                            </w:rPr>
                            <w:t>40601  |</w:t>
                          </w:r>
                          <w:proofErr w:type="gramEnd"/>
                          <w:r w:rsidRPr="00194680">
                            <w:rPr>
                              <w:rFonts w:ascii="Arial" w:hAnsi="Arial" w:cs="Arial"/>
                              <w:color w:val="595959"/>
                              <w:spacing w:val="-2"/>
                              <w:sz w:val="16"/>
                              <w:szCs w:val="16"/>
                            </w:rPr>
                            <w:t xml:space="preserve">  (800) 626-2930 • CED.ky.gov</w:t>
                          </w:r>
                        </w:p>
                        <w:p w14:paraId="039355B8" w14:textId="77777777" w:rsidR="00194680" w:rsidRPr="00194680" w:rsidRDefault="00194680" w:rsidP="00194680">
                          <w:pPr>
                            <w:widowControl w:val="0"/>
                            <w:autoSpaceDE w:val="0"/>
                            <w:autoSpaceDN w:val="0"/>
                            <w:adjustRightInd w:val="0"/>
                            <w:spacing w:line="288" w:lineRule="auto"/>
                            <w:textAlignment w:val="center"/>
                            <w:rPr>
                              <w:rFonts w:ascii="MuseoSansRounded-300" w:hAnsi="MuseoSansRounded-300" w:cs="MuseoSansRounded-300"/>
                              <w:color w:val="595959"/>
                              <w:spacing w:val="-2"/>
                              <w:sz w:val="16"/>
                              <w:szCs w:val="16"/>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B30F" id="_x0000_t202" coordsize="21600,21600" o:spt="202" path="m,l,21600r21600,l21600,xe">
              <v:stroke joinstyle="miter"/>
              <v:path gradientshapeok="t" o:connecttype="rect"/>
            </v:shapetype>
            <v:shape id="Text Box 97" o:spid="_x0000_s1026" type="#_x0000_t202" style="position:absolute;margin-left:-41pt;margin-top:731.35pt;width:306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" filled="f" stroked="f">
              <v:textbox inset="0">
                <w:txbxContent>
                  <w:p w14:paraId="012856B7" w14:textId="77777777" w:rsidR="00194680" w:rsidRPr="00194680" w:rsidRDefault="00194680" w:rsidP="00194680">
                    <w:pPr>
                      <w:widowControl w:val="0"/>
                      <w:autoSpaceDE w:val="0"/>
                      <w:autoSpaceDN w:val="0"/>
                      <w:adjustRightInd w:val="0"/>
                      <w:spacing w:line="288" w:lineRule="auto"/>
                      <w:textAlignment w:val="center"/>
                      <w:rPr>
                        <w:rFonts w:ascii="Arial" w:hAnsi="Arial" w:cs="Arial"/>
                        <w:color w:val="595959"/>
                        <w:spacing w:val="-2"/>
                        <w:sz w:val="16"/>
                        <w:szCs w:val="16"/>
                      </w:rPr>
                    </w:pPr>
                    <w:r w:rsidRPr="00194680">
                      <w:rPr>
                        <w:rFonts w:ascii="Arial" w:hAnsi="Arial" w:cs="Arial"/>
                        <w:color w:val="595959"/>
                        <w:spacing w:val="-2"/>
                        <w:sz w:val="16"/>
                        <w:szCs w:val="16"/>
                      </w:rPr>
                      <w:t xml:space="preserve">300 W. Broadway • Frankfort, KY </w:t>
                    </w:r>
                    <w:proofErr w:type="gramStart"/>
                    <w:r w:rsidRPr="00194680">
                      <w:rPr>
                        <w:rFonts w:ascii="Arial" w:hAnsi="Arial" w:cs="Arial"/>
                        <w:color w:val="595959"/>
                        <w:spacing w:val="-2"/>
                        <w:sz w:val="16"/>
                        <w:szCs w:val="16"/>
                      </w:rPr>
                      <w:t>40601  |</w:t>
                    </w:r>
                    <w:proofErr w:type="gramEnd"/>
                    <w:r w:rsidRPr="00194680">
                      <w:rPr>
                        <w:rFonts w:ascii="Arial" w:hAnsi="Arial" w:cs="Arial"/>
                        <w:color w:val="595959"/>
                        <w:spacing w:val="-2"/>
                        <w:sz w:val="16"/>
                        <w:szCs w:val="16"/>
                      </w:rPr>
                      <w:t xml:space="preserve">  (800) 626-2930 • CED.ky.gov</w:t>
                    </w:r>
                  </w:p>
                  <w:p w14:paraId="039355B8" w14:textId="77777777" w:rsidR="00194680" w:rsidRPr="00194680" w:rsidRDefault="00194680" w:rsidP="00194680">
                    <w:pPr>
                      <w:widowControl w:val="0"/>
                      <w:autoSpaceDE w:val="0"/>
                      <w:autoSpaceDN w:val="0"/>
                      <w:adjustRightInd w:val="0"/>
                      <w:spacing w:line="288" w:lineRule="auto"/>
                      <w:textAlignment w:val="center"/>
                      <w:rPr>
                        <w:rFonts w:ascii="MuseoSansRounded-300" w:hAnsi="MuseoSansRounded-300" w:cs="MuseoSansRounded-300"/>
                        <w:color w:val="595959"/>
                        <w:spacing w:val="-2"/>
                        <w:sz w:val="16"/>
                        <w:szCs w:val="16"/>
                      </w:rPr>
                    </w:pPr>
                  </w:p>
                </w:txbxContent>
              </v:textbox>
              <w10:wrap anchory="page"/>
            </v:shape>
          </w:pict>
        </mc:Fallback>
      </mc:AlternateContent>
    </w:r>
    <w:r w:rsidRPr="00194680">
      <w:rPr>
        <w:noProof/>
      </w:rPr>
      <mc:AlternateContent>
        <mc:Choice Requires="wps">
          <w:drawing>
            <wp:anchor distT="4294967295" distB="4294967295" distL="114300" distR="114300" simplePos="0" relativeHeight="251655680" behindDoc="0" locked="0" layoutInCell="1" allowOverlap="1" wp14:anchorId="6861A797" wp14:editId="05674338">
              <wp:simplePos x="0" y="0"/>
              <wp:positionH relativeFrom="column">
                <wp:posOffset>-533400</wp:posOffset>
              </wp:positionH>
              <wp:positionV relativeFrom="paragraph">
                <wp:posOffset>109855</wp:posOffset>
              </wp:positionV>
              <wp:extent cx="4445000" cy="12700"/>
              <wp:effectExtent l="12700" t="38100" r="25400" b="3810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45000" cy="12700"/>
                      </a:xfrm>
                      <a:prstGeom prst="line">
                        <a:avLst/>
                      </a:prstGeom>
                      <a:noFill/>
                      <a:ln w="76200"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88CC25" id="Straight Connector 95" o:spid="_x0000_s1026" style="position:absolute;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2pt,8.65pt" to="3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" strokecolor="#d9d9d9" strokeweight="6pt">
              <o:lock v:ext="edit" shapetype="f"/>
            </v:line>
          </w:pict>
        </mc:Fallback>
      </mc:AlternateContent>
    </w:r>
    <w:r w:rsidRPr="00194680">
      <w:rPr>
        <w:noProof/>
      </w:rPr>
      <mc:AlternateContent>
        <mc:Choice Requires="wps">
          <w:drawing>
            <wp:anchor distT="4294967295" distB="4294967295" distL="114300" distR="114300" simplePos="0" relativeHeight="251659776" behindDoc="0" locked="0" layoutInCell="1" allowOverlap="1" wp14:anchorId="658A7C61" wp14:editId="0CD2888E">
              <wp:simplePos x="0" y="0"/>
              <wp:positionH relativeFrom="column">
                <wp:posOffset>6134100</wp:posOffset>
              </wp:positionH>
              <wp:positionV relativeFrom="paragraph">
                <wp:posOffset>102235</wp:posOffset>
              </wp:positionV>
              <wp:extent cx="342900" cy="0"/>
              <wp:effectExtent l="0" t="38100" r="254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a:noFill/>
                      <a:ln w="76200"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602D08" id="Straight Connector 2"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83pt,8.05pt" to="510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" strokecolor="#d9d9d9" strokeweight="6pt">
              <o:lock v:ext="edit" shapetype="f"/>
            </v:line>
          </w:pict>
        </mc:Fallback>
      </mc:AlternateContent>
    </w:r>
    <w:r w:rsidRPr="00194680">
      <w:rPr>
        <w:noProof/>
      </w:rPr>
      <mc:AlternateContent>
        <mc:Choice Requires="wps">
          <w:drawing>
            <wp:anchor distT="4294967295" distB="4294967295" distL="114300" distR="114300" simplePos="0" relativeHeight="251656704" behindDoc="0" locked="0" layoutInCell="1" allowOverlap="1" wp14:anchorId="03CD77F8" wp14:editId="7C802A66">
              <wp:simplePos x="0" y="0"/>
              <wp:positionH relativeFrom="column">
                <wp:posOffset>5269865</wp:posOffset>
              </wp:positionH>
              <wp:positionV relativeFrom="paragraph">
                <wp:posOffset>107950</wp:posOffset>
              </wp:positionV>
              <wp:extent cx="342900" cy="0"/>
              <wp:effectExtent l="0" t="38100" r="25400" b="3810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a:noFill/>
                      <a:ln w="76200"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83DDE8" id="Straight Connector 94"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14.95pt,8.5pt" to="44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" strokecolor="#d9d9d9" strokeweight="6pt">
              <o:lock v:ext="edit" shapetype="f"/>
            </v:line>
          </w:pict>
        </mc:Fallback>
      </mc:AlternateContent>
    </w:r>
    <w:r w:rsidRPr="00194680">
      <w:rPr>
        <w:noProof/>
      </w:rPr>
      <w:drawing>
        <wp:anchor distT="0" distB="0" distL="114300" distR="114300" simplePos="0" relativeHeight="251658752" behindDoc="0" locked="0" layoutInCell="1" allowOverlap="1" wp14:anchorId="5BE78BEE" wp14:editId="5CF0137C">
          <wp:simplePos x="0" y="0"/>
          <wp:positionH relativeFrom="column">
            <wp:posOffset>4043680</wp:posOffset>
          </wp:positionH>
          <wp:positionV relativeFrom="paragraph">
            <wp:posOffset>-93980</wp:posOffset>
          </wp:positionV>
          <wp:extent cx="1099820" cy="390525"/>
          <wp:effectExtent l="0" t="0" r="5080" b="3175"/>
          <wp:wrapNone/>
          <wp:docPr id="104" name="Picture 5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graphicdesign:Think Kentucky Rebrand 2016:Logo:Think_Kentucky_Logo_Primary.png"/>
                  <pic:cNvPicPr>
                    <a:picLocks noChangeAspect="1" noChangeArrowheads="1"/>
                  </pic:cNvPicPr>
                </pic:nvPicPr>
                <pic:blipFill>
                  <a:blip r:embed="rId1"/>
                  <a:stretch>
                    <a:fillRect/>
                  </a:stretch>
                </pic:blipFill>
                <pic:spPr bwMode="auto">
                  <a:xfrm>
                    <a:off x="0" y="0"/>
                    <a:ext cx="109982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6F43" w14:textId="77777777" w:rsidR="00964C29" w:rsidRDefault="00964C29" w:rsidP="00194680">
      <w:r>
        <w:separator/>
      </w:r>
    </w:p>
  </w:footnote>
  <w:footnote w:type="continuationSeparator" w:id="0">
    <w:p w14:paraId="2871CE4C" w14:textId="77777777" w:rsidR="00964C29" w:rsidRDefault="00964C29" w:rsidP="0019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5022" w14:textId="213DAEA7" w:rsidR="00194680" w:rsidRDefault="003502E1">
    <w:pPr>
      <w:pStyle w:val="Header"/>
    </w:pPr>
    <w:r>
      <w:rPr>
        <w:noProof/>
      </w:rPr>
      <w:drawing>
        <wp:anchor distT="0" distB="0" distL="114300" distR="114300" simplePos="0" relativeHeight="251661824" behindDoc="0" locked="0" layoutInCell="1" allowOverlap="1" wp14:anchorId="50961D49" wp14:editId="2A86546D">
          <wp:simplePos x="0" y="0"/>
          <wp:positionH relativeFrom="column">
            <wp:posOffset>2857500</wp:posOffset>
          </wp:positionH>
          <wp:positionV relativeFrom="paragraph">
            <wp:posOffset>-981075</wp:posOffset>
          </wp:positionV>
          <wp:extent cx="4686300" cy="2489200"/>
          <wp:effectExtent l="0" t="0" r="0" b="6350"/>
          <wp:wrapNone/>
          <wp:docPr id="4" name="Picture 4" descr="A picture containing honeycomb, object, decorated,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4686300" cy="248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28A"/>
    <w:multiLevelType w:val="hybridMultilevel"/>
    <w:tmpl w:val="33E8B8D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C1403"/>
    <w:multiLevelType w:val="hybridMultilevel"/>
    <w:tmpl w:val="BB36B0B2"/>
    <w:lvl w:ilvl="0" w:tplc="A912BE3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A45CC"/>
    <w:multiLevelType w:val="hybridMultilevel"/>
    <w:tmpl w:val="B844B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F4B7E"/>
    <w:multiLevelType w:val="hybridMultilevel"/>
    <w:tmpl w:val="D1C8908E"/>
    <w:lvl w:ilvl="0" w:tplc="1BDE5684">
      <w:start w:val="1"/>
      <w:numFmt w:val="bullet"/>
      <w:lvlText w:val="»"/>
      <w:lvlJc w:val="left"/>
      <w:pPr>
        <w:ind w:left="1440" w:hanging="360"/>
      </w:pPr>
      <w:rPr>
        <w:rFonts w:ascii="Times" w:hAnsi="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A4605"/>
    <w:multiLevelType w:val="hybridMultilevel"/>
    <w:tmpl w:val="EE22372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0A1D24EF"/>
    <w:multiLevelType w:val="hybridMultilevel"/>
    <w:tmpl w:val="29503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0DF7411"/>
    <w:multiLevelType w:val="hybridMultilevel"/>
    <w:tmpl w:val="186A0F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D095A"/>
    <w:multiLevelType w:val="hybridMultilevel"/>
    <w:tmpl w:val="02F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5CCA"/>
    <w:multiLevelType w:val="hybridMultilevel"/>
    <w:tmpl w:val="0BF03DB8"/>
    <w:lvl w:ilvl="0" w:tplc="A912BE3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F77D5"/>
    <w:multiLevelType w:val="hybridMultilevel"/>
    <w:tmpl w:val="13BA115C"/>
    <w:lvl w:ilvl="0" w:tplc="1BDE5684">
      <w:start w:val="1"/>
      <w:numFmt w:val="bullet"/>
      <w:lvlText w:val="»"/>
      <w:lvlJc w:val="left"/>
      <w:pPr>
        <w:ind w:left="1440" w:hanging="360"/>
      </w:pPr>
      <w:rPr>
        <w:rFonts w:ascii="Times" w:hAnsi="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89754A"/>
    <w:multiLevelType w:val="hybridMultilevel"/>
    <w:tmpl w:val="DEB8EAE4"/>
    <w:lvl w:ilvl="0" w:tplc="3516DD3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47AA7"/>
    <w:multiLevelType w:val="hybridMultilevel"/>
    <w:tmpl w:val="5CCA2CAA"/>
    <w:lvl w:ilvl="0" w:tplc="04090001">
      <w:start w:val="1"/>
      <w:numFmt w:val="bullet"/>
      <w:lvlText w:val=""/>
      <w:lvlJc w:val="left"/>
      <w:pPr>
        <w:ind w:left="720" w:hanging="360"/>
      </w:pPr>
      <w:rPr>
        <w:rFonts w:ascii="Symbol" w:hAnsi="Symbol" w:hint="default"/>
      </w:rPr>
    </w:lvl>
    <w:lvl w:ilvl="1" w:tplc="1BDE5684">
      <w:start w:val="1"/>
      <w:numFmt w:val="bullet"/>
      <w:lvlText w:val="»"/>
      <w:lvlJc w:val="left"/>
      <w:pPr>
        <w:ind w:left="1440" w:hanging="360"/>
      </w:pPr>
      <w:rPr>
        <w:rFonts w:ascii="Times" w:hAnsi="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6876B3"/>
    <w:multiLevelType w:val="hybridMultilevel"/>
    <w:tmpl w:val="E82214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6E2EE0"/>
    <w:multiLevelType w:val="hybridMultilevel"/>
    <w:tmpl w:val="206892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FF1C75"/>
    <w:multiLevelType w:val="hybridMultilevel"/>
    <w:tmpl w:val="2DC6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C15B2C"/>
    <w:multiLevelType w:val="hybridMultilevel"/>
    <w:tmpl w:val="31D4FB9A"/>
    <w:lvl w:ilvl="0" w:tplc="A24CD7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63CCB"/>
    <w:multiLevelType w:val="hybridMultilevel"/>
    <w:tmpl w:val="02863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E244FF"/>
    <w:multiLevelType w:val="hybridMultilevel"/>
    <w:tmpl w:val="49408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80B90"/>
    <w:multiLevelType w:val="hybridMultilevel"/>
    <w:tmpl w:val="729A099E"/>
    <w:lvl w:ilvl="0" w:tplc="3516DD3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603AC"/>
    <w:multiLevelType w:val="hybridMultilevel"/>
    <w:tmpl w:val="1CA2D804"/>
    <w:lvl w:ilvl="0" w:tplc="A24CD7A4">
      <w:numFmt w:val="bullet"/>
      <w:lvlText w:val=""/>
      <w:lvlJc w:val="left"/>
      <w:pPr>
        <w:ind w:left="720" w:hanging="360"/>
      </w:pPr>
      <w:rPr>
        <w:rFonts w:ascii="Symbol" w:eastAsiaTheme="minorHAnsi" w:hAnsi="Symbol" w:cstheme="minorBidi" w:hint="default"/>
      </w:rPr>
    </w:lvl>
    <w:lvl w:ilvl="1" w:tplc="1BDE5684">
      <w:start w:val="1"/>
      <w:numFmt w:val="bullet"/>
      <w:lvlText w:val="»"/>
      <w:lvlJc w:val="left"/>
      <w:pPr>
        <w:ind w:left="1440" w:hanging="360"/>
      </w:pPr>
      <w:rPr>
        <w:rFonts w:ascii="Times" w:hAnsi="Times" w:hint="default"/>
      </w:rPr>
    </w:lvl>
    <w:lvl w:ilvl="2" w:tplc="1BDE5684">
      <w:start w:val="1"/>
      <w:numFmt w:val="bullet"/>
      <w:lvlText w:val="»"/>
      <w:lvlJc w:val="left"/>
      <w:pPr>
        <w:ind w:left="2160" w:hanging="360"/>
      </w:pPr>
      <w:rPr>
        <w:rFonts w:ascii="Times" w:hAnsi="Time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84621"/>
    <w:multiLevelType w:val="hybridMultilevel"/>
    <w:tmpl w:val="4E9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07862"/>
    <w:multiLevelType w:val="hybridMultilevel"/>
    <w:tmpl w:val="506489AC"/>
    <w:lvl w:ilvl="0" w:tplc="3516DD36">
      <w:numFmt w:val="bullet"/>
      <w:lvlText w:val=""/>
      <w:lvlJc w:val="left"/>
      <w:pPr>
        <w:ind w:left="766" w:hanging="360"/>
      </w:pPr>
      <w:rPr>
        <w:rFonts w:ascii="Symbol" w:eastAsiaTheme="minorEastAsia" w:hAnsi="Symbol" w:cs="Aria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3C2A5156"/>
    <w:multiLevelType w:val="hybridMultilevel"/>
    <w:tmpl w:val="3A484070"/>
    <w:lvl w:ilvl="0" w:tplc="3516DD36">
      <w:numFmt w:val="bullet"/>
      <w:lvlText w:val=""/>
      <w:lvlJc w:val="left"/>
      <w:pPr>
        <w:ind w:left="766" w:hanging="360"/>
      </w:pPr>
      <w:rPr>
        <w:rFonts w:ascii="Symbol" w:eastAsiaTheme="minorEastAsia" w:hAnsi="Symbol" w:cs="Aria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D4E1AAA"/>
    <w:multiLevelType w:val="hybridMultilevel"/>
    <w:tmpl w:val="FE6E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B713E"/>
    <w:multiLevelType w:val="hybridMultilevel"/>
    <w:tmpl w:val="605A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63523"/>
    <w:multiLevelType w:val="hybridMultilevel"/>
    <w:tmpl w:val="79BA6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41CB7"/>
    <w:multiLevelType w:val="hybridMultilevel"/>
    <w:tmpl w:val="B17C6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A0059E"/>
    <w:multiLevelType w:val="hybridMultilevel"/>
    <w:tmpl w:val="6CE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70643"/>
    <w:multiLevelType w:val="hybridMultilevel"/>
    <w:tmpl w:val="C8AE4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0B1C0C"/>
    <w:multiLevelType w:val="hybridMultilevel"/>
    <w:tmpl w:val="50681DE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0" w15:restartNumberingAfterBreak="0">
    <w:nsid w:val="4FA94525"/>
    <w:multiLevelType w:val="hybridMultilevel"/>
    <w:tmpl w:val="B648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80048"/>
    <w:multiLevelType w:val="hybridMultilevel"/>
    <w:tmpl w:val="6C44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15E2D"/>
    <w:multiLevelType w:val="hybridMultilevel"/>
    <w:tmpl w:val="7580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D4381"/>
    <w:multiLevelType w:val="hybridMultilevel"/>
    <w:tmpl w:val="4E325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02709"/>
    <w:multiLevelType w:val="hybridMultilevel"/>
    <w:tmpl w:val="7CDC7C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5F201433"/>
    <w:multiLevelType w:val="hybridMultilevel"/>
    <w:tmpl w:val="1514224A"/>
    <w:lvl w:ilvl="0" w:tplc="3516DD36">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A422CD"/>
    <w:multiLevelType w:val="hybridMultilevel"/>
    <w:tmpl w:val="B7BE6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9732E"/>
    <w:multiLevelType w:val="hybridMultilevel"/>
    <w:tmpl w:val="DACC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72A95"/>
    <w:multiLevelType w:val="hybridMultilevel"/>
    <w:tmpl w:val="94609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565E4"/>
    <w:multiLevelType w:val="hybridMultilevel"/>
    <w:tmpl w:val="6A7819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7A642781"/>
    <w:multiLevelType w:val="hybridMultilevel"/>
    <w:tmpl w:val="516A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9590F"/>
    <w:multiLevelType w:val="hybridMultilevel"/>
    <w:tmpl w:val="B15C9706"/>
    <w:lvl w:ilvl="0" w:tplc="3516DD36">
      <w:numFmt w:val="bullet"/>
      <w:lvlText w:val=""/>
      <w:lvlJc w:val="left"/>
      <w:pPr>
        <w:ind w:left="766" w:hanging="360"/>
      </w:pPr>
      <w:rPr>
        <w:rFonts w:ascii="Symbol" w:eastAsiaTheme="minorEastAsia" w:hAnsi="Symbol" w:cs="Aria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2" w15:restartNumberingAfterBreak="0">
    <w:nsid w:val="7FDE32B6"/>
    <w:multiLevelType w:val="hybridMultilevel"/>
    <w:tmpl w:val="4BAEE4BA"/>
    <w:lvl w:ilvl="0" w:tplc="A24CD7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1BDE5684">
      <w:start w:val="1"/>
      <w:numFmt w:val="bullet"/>
      <w:lvlText w:val="»"/>
      <w:lvlJc w:val="left"/>
      <w:pPr>
        <w:ind w:left="2160" w:hanging="360"/>
      </w:pPr>
      <w:rPr>
        <w:rFonts w:ascii="Times" w:hAnsi="Time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07A68"/>
    <w:multiLevelType w:val="hybridMultilevel"/>
    <w:tmpl w:val="75EC5446"/>
    <w:lvl w:ilvl="0" w:tplc="1BDE5684">
      <w:start w:val="1"/>
      <w:numFmt w:val="bullet"/>
      <w:lvlText w:val="»"/>
      <w:lvlJc w:val="left"/>
      <w:pPr>
        <w:ind w:left="1440" w:hanging="360"/>
      </w:pPr>
      <w:rPr>
        <w:rFonts w:ascii="Times" w:hAnsi="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1"/>
  </w:num>
  <w:num w:numId="3">
    <w:abstractNumId w:val="23"/>
  </w:num>
  <w:num w:numId="4">
    <w:abstractNumId w:val="43"/>
  </w:num>
  <w:num w:numId="5">
    <w:abstractNumId w:val="26"/>
  </w:num>
  <w:num w:numId="6">
    <w:abstractNumId w:val="9"/>
  </w:num>
  <w:num w:numId="7">
    <w:abstractNumId w:val="17"/>
  </w:num>
  <w:num w:numId="8">
    <w:abstractNumId w:val="36"/>
  </w:num>
  <w:num w:numId="9">
    <w:abstractNumId w:val="3"/>
  </w:num>
  <w:num w:numId="10">
    <w:abstractNumId w:val="5"/>
  </w:num>
  <w:num w:numId="11">
    <w:abstractNumId w:val="39"/>
  </w:num>
  <w:num w:numId="12">
    <w:abstractNumId w:val="34"/>
  </w:num>
  <w:num w:numId="13">
    <w:abstractNumId w:val="0"/>
  </w:num>
  <w:num w:numId="14">
    <w:abstractNumId w:val="14"/>
  </w:num>
  <w:num w:numId="15">
    <w:abstractNumId w:val="16"/>
  </w:num>
  <w:num w:numId="16">
    <w:abstractNumId w:val="28"/>
  </w:num>
  <w:num w:numId="17">
    <w:abstractNumId w:val="27"/>
  </w:num>
  <w:num w:numId="18">
    <w:abstractNumId w:val="40"/>
  </w:num>
  <w:num w:numId="19">
    <w:abstractNumId w:val="24"/>
  </w:num>
  <w:num w:numId="20">
    <w:abstractNumId w:val="10"/>
  </w:num>
  <w:num w:numId="21">
    <w:abstractNumId w:val="8"/>
  </w:num>
  <w:num w:numId="22">
    <w:abstractNumId w:val="1"/>
  </w:num>
  <w:num w:numId="23">
    <w:abstractNumId w:val="25"/>
  </w:num>
  <w:num w:numId="24">
    <w:abstractNumId w:val="37"/>
  </w:num>
  <w:num w:numId="25">
    <w:abstractNumId w:val="20"/>
  </w:num>
  <w:num w:numId="26">
    <w:abstractNumId w:val="29"/>
  </w:num>
  <w:num w:numId="27">
    <w:abstractNumId w:val="7"/>
  </w:num>
  <w:num w:numId="28">
    <w:abstractNumId w:val="6"/>
  </w:num>
  <w:num w:numId="29">
    <w:abstractNumId w:val="12"/>
  </w:num>
  <w:num w:numId="30">
    <w:abstractNumId w:val="41"/>
  </w:num>
  <w:num w:numId="31">
    <w:abstractNumId w:val="21"/>
  </w:num>
  <w:num w:numId="32">
    <w:abstractNumId w:val="22"/>
  </w:num>
  <w:num w:numId="33">
    <w:abstractNumId w:val="4"/>
  </w:num>
  <w:num w:numId="34">
    <w:abstractNumId w:val="18"/>
  </w:num>
  <w:num w:numId="35">
    <w:abstractNumId w:val="30"/>
  </w:num>
  <w:num w:numId="36">
    <w:abstractNumId w:val="2"/>
  </w:num>
  <w:num w:numId="37">
    <w:abstractNumId w:val="13"/>
  </w:num>
  <w:num w:numId="38">
    <w:abstractNumId w:val="32"/>
  </w:num>
  <w:num w:numId="39">
    <w:abstractNumId w:val="35"/>
  </w:num>
  <w:num w:numId="40">
    <w:abstractNumId w:val="15"/>
  </w:num>
  <w:num w:numId="41">
    <w:abstractNumId w:val="38"/>
  </w:num>
  <w:num w:numId="42">
    <w:abstractNumId w:val="42"/>
  </w:num>
  <w:num w:numId="43">
    <w:abstractNumId w:val="1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E1"/>
    <w:rsid w:val="000062BA"/>
    <w:rsid w:val="00030635"/>
    <w:rsid w:val="00031A7C"/>
    <w:rsid w:val="0003363D"/>
    <w:rsid w:val="000461DB"/>
    <w:rsid w:val="000505A9"/>
    <w:rsid w:val="00050DBE"/>
    <w:rsid w:val="00057D19"/>
    <w:rsid w:val="0008093C"/>
    <w:rsid w:val="00081A0D"/>
    <w:rsid w:val="000915EE"/>
    <w:rsid w:val="000927DE"/>
    <w:rsid w:val="000953B3"/>
    <w:rsid w:val="00096949"/>
    <w:rsid w:val="000A251E"/>
    <w:rsid w:val="000A2964"/>
    <w:rsid w:val="000C1E70"/>
    <w:rsid w:val="000D06D7"/>
    <w:rsid w:val="000D1852"/>
    <w:rsid w:val="000E15D1"/>
    <w:rsid w:val="000E7FA7"/>
    <w:rsid w:val="00106D9E"/>
    <w:rsid w:val="00116F97"/>
    <w:rsid w:val="0012580D"/>
    <w:rsid w:val="001326F2"/>
    <w:rsid w:val="00143A69"/>
    <w:rsid w:val="00151B7F"/>
    <w:rsid w:val="00165816"/>
    <w:rsid w:val="00181948"/>
    <w:rsid w:val="001837F8"/>
    <w:rsid w:val="00194680"/>
    <w:rsid w:val="001B465B"/>
    <w:rsid w:val="001B7122"/>
    <w:rsid w:val="001D024B"/>
    <w:rsid w:val="0020471B"/>
    <w:rsid w:val="00210BE9"/>
    <w:rsid w:val="002210BA"/>
    <w:rsid w:val="00241612"/>
    <w:rsid w:val="0028096C"/>
    <w:rsid w:val="00292347"/>
    <w:rsid w:val="002A2F91"/>
    <w:rsid w:val="002B0153"/>
    <w:rsid w:val="002B202F"/>
    <w:rsid w:val="002C3ECC"/>
    <w:rsid w:val="002D08FF"/>
    <w:rsid w:val="002D31CF"/>
    <w:rsid w:val="002D7C6C"/>
    <w:rsid w:val="002E0EC2"/>
    <w:rsid w:val="0032084D"/>
    <w:rsid w:val="00325A6A"/>
    <w:rsid w:val="003502E1"/>
    <w:rsid w:val="00354A16"/>
    <w:rsid w:val="00362A75"/>
    <w:rsid w:val="003669F8"/>
    <w:rsid w:val="003A1E19"/>
    <w:rsid w:val="003A4942"/>
    <w:rsid w:val="003A4CA6"/>
    <w:rsid w:val="003A696B"/>
    <w:rsid w:val="003B2DF9"/>
    <w:rsid w:val="003B594C"/>
    <w:rsid w:val="003B7E97"/>
    <w:rsid w:val="003D6213"/>
    <w:rsid w:val="003D79C8"/>
    <w:rsid w:val="003E0442"/>
    <w:rsid w:val="003E300B"/>
    <w:rsid w:val="003F0E11"/>
    <w:rsid w:val="003F3F4D"/>
    <w:rsid w:val="004061DE"/>
    <w:rsid w:val="00415EC4"/>
    <w:rsid w:val="004443AB"/>
    <w:rsid w:val="00446FA9"/>
    <w:rsid w:val="0044798C"/>
    <w:rsid w:val="0045765F"/>
    <w:rsid w:val="004616D4"/>
    <w:rsid w:val="004725D5"/>
    <w:rsid w:val="00483F54"/>
    <w:rsid w:val="004A4A0B"/>
    <w:rsid w:val="004D12B3"/>
    <w:rsid w:val="004D7428"/>
    <w:rsid w:val="004F01FB"/>
    <w:rsid w:val="00500051"/>
    <w:rsid w:val="00500A86"/>
    <w:rsid w:val="005115A3"/>
    <w:rsid w:val="005137EE"/>
    <w:rsid w:val="005159D9"/>
    <w:rsid w:val="00533857"/>
    <w:rsid w:val="00537FAB"/>
    <w:rsid w:val="005604A8"/>
    <w:rsid w:val="005809E3"/>
    <w:rsid w:val="00585E29"/>
    <w:rsid w:val="00590FBC"/>
    <w:rsid w:val="0059349C"/>
    <w:rsid w:val="005B3B82"/>
    <w:rsid w:val="005C5955"/>
    <w:rsid w:val="005D1752"/>
    <w:rsid w:val="005F16E1"/>
    <w:rsid w:val="00625810"/>
    <w:rsid w:val="0062757D"/>
    <w:rsid w:val="00630165"/>
    <w:rsid w:val="006359F8"/>
    <w:rsid w:val="00652FF5"/>
    <w:rsid w:val="006A5568"/>
    <w:rsid w:val="006A61DF"/>
    <w:rsid w:val="006A6AF5"/>
    <w:rsid w:val="006B3C22"/>
    <w:rsid w:val="006B60BF"/>
    <w:rsid w:val="006C57A9"/>
    <w:rsid w:val="006C5AE4"/>
    <w:rsid w:val="006D431A"/>
    <w:rsid w:val="006E402F"/>
    <w:rsid w:val="00700A52"/>
    <w:rsid w:val="00704BAA"/>
    <w:rsid w:val="00712556"/>
    <w:rsid w:val="0073601D"/>
    <w:rsid w:val="0074157D"/>
    <w:rsid w:val="00742F3A"/>
    <w:rsid w:val="0074337C"/>
    <w:rsid w:val="00745850"/>
    <w:rsid w:val="00761515"/>
    <w:rsid w:val="0077339C"/>
    <w:rsid w:val="00775925"/>
    <w:rsid w:val="00776013"/>
    <w:rsid w:val="007A3143"/>
    <w:rsid w:val="007A7C93"/>
    <w:rsid w:val="007C099F"/>
    <w:rsid w:val="007E3E26"/>
    <w:rsid w:val="008016D5"/>
    <w:rsid w:val="00804BFA"/>
    <w:rsid w:val="00815CE1"/>
    <w:rsid w:val="00820B14"/>
    <w:rsid w:val="00830ED0"/>
    <w:rsid w:val="00847072"/>
    <w:rsid w:val="00862D56"/>
    <w:rsid w:val="008705F2"/>
    <w:rsid w:val="00870EF9"/>
    <w:rsid w:val="00875F6C"/>
    <w:rsid w:val="0088330C"/>
    <w:rsid w:val="00895CBE"/>
    <w:rsid w:val="008A301D"/>
    <w:rsid w:val="008D31C8"/>
    <w:rsid w:val="008F52D9"/>
    <w:rsid w:val="008F6034"/>
    <w:rsid w:val="009347C3"/>
    <w:rsid w:val="009444D0"/>
    <w:rsid w:val="00964C29"/>
    <w:rsid w:val="009A60F7"/>
    <w:rsid w:val="009B317E"/>
    <w:rsid w:val="009C5996"/>
    <w:rsid w:val="009F545D"/>
    <w:rsid w:val="00A11DFC"/>
    <w:rsid w:val="00A21893"/>
    <w:rsid w:val="00A23B6B"/>
    <w:rsid w:val="00A405ED"/>
    <w:rsid w:val="00A4369C"/>
    <w:rsid w:val="00A57D30"/>
    <w:rsid w:val="00A80CDF"/>
    <w:rsid w:val="00A8556B"/>
    <w:rsid w:val="00AA3002"/>
    <w:rsid w:val="00AB0332"/>
    <w:rsid w:val="00AC50C8"/>
    <w:rsid w:val="00AD1A1F"/>
    <w:rsid w:val="00AE0180"/>
    <w:rsid w:val="00AE5514"/>
    <w:rsid w:val="00B622E8"/>
    <w:rsid w:val="00B8607F"/>
    <w:rsid w:val="00B906D7"/>
    <w:rsid w:val="00B9315A"/>
    <w:rsid w:val="00BC087D"/>
    <w:rsid w:val="00BC7C98"/>
    <w:rsid w:val="00BD003B"/>
    <w:rsid w:val="00BE7EFD"/>
    <w:rsid w:val="00BF08BB"/>
    <w:rsid w:val="00BF4E5A"/>
    <w:rsid w:val="00C0353C"/>
    <w:rsid w:val="00C26039"/>
    <w:rsid w:val="00C269F9"/>
    <w:rsid w:val="00C3404C"/>
    <w:rsid w:val="00C34D35"/>
    <w:rsid w:val="00C35ADB"/>
    <w:rsid w:val="00C51E25"/>
    <w:rsid w:val="00C538DF"/>
    <w:rsid w:val="00C800A7"/>
    <w:rsid w:val="00C86672"/>
    <w:rsid w:val="00C94213"/>
    <w:rsid w:val="00CA3407"/>
    <w:rsid w:val="00CB3BEB"/>
    <w:rsid w:val="00CB544E"/>
    <w:rsid w:val="00CC1608"/>
    <w:rsid w:val="00CE05AF"/>
    <w:rsid w:val="00CF07DC"/>
    <w:rsid w:val="00CF2B4D"/>
    <w:rsid w:val="00CF4F19"/>
    <w:rsid w:val="00CF558F"/>
    <w:rsid w:val="00D05330"/>
    <w:rsid w:val="00D070DF"/>
    <w:rsid w:val="00D220D0"/>
    <w:rsid w:val="00D24A39"/>
    <w:rsid w:val="00D34B2C"/>
    <w:rsid w:val="00D3722B"/>
    <w:rsid w:val="00D50305"/>
    <w:rsid w:val="00D63658"/>
    <w:rsid w:val="00D81A84"/>
    <w:rsid w:val="00D86B87"/>
    <w:rsid w:val="00DB671B"/>
    <w:rsid w:val="00DC442F"/>
    <w:rsid w:val="00DF1E39"/>
    <w:rsid w:val="00DF66CB"/>
    <w:rsid w:val="00E044CF"/>
    <w:rsid w:val="00E17FC6"/>
    <w:rsid w:val="00E32DF2"/>
    <w:rsid w:val="00E36042"/>
    <w:rsid w:val="00E47D07"/>
    <w:rsid w:val="00E52364"/>
    <w:rsid w:val="00E566ED"/>
    <w:rsid w:val="00E57173"/>
    <w:rsid w:val="00E72141"/>
    <w:rsid w:val="00E7242F"/>
    <w:rsid w:val="00E950CC"/>
    <w:rsid w:val="00EB1F1E"/>
    <w:rsid w:val="00EB31F3"/>
    <w:rsid w:val="00ED1AF2"/>
    <w:rsid w:val="00F15C32"/>
    <w:rsid w:val="00F165A0"/>
    <w:rsid w:val="00F351E2"/>
    <w:rsid w:val="00F444DC"/>
    <w:rsid w:val="00F447F4"/>
    <w:rsid w:val="00F64F00"/>
    <w:rsid w:val="00F67979"/>
    <w:rsid w:val="00F755A5"/>
    <w:rsid w:val="00F91747"/>
    <w:rsid w:val="00FB004D"/>
    <w:rsid w:val="00FC3170"/>
    <w:rsid w:val="00FC5246"/>
    <w:rsid w:val="00FD1DF0"/>
    <w:rsid w:val="00FD471A"/>
    <w:rsid w:val="00FD78AD"/>
    <w:rsid w:val="00FE0291"/>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7D504"/>
  <w15:chartTrackingRefBased/>
  <w15:docId w15:val="{76408DCF-6D10-1549-B237-D5675ABF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EB1F1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80"/>
    <w:pPr>
      <w:tabs>
        <w:tab w:val="center" w:pos="4680"/>
        <w:tab w:val="right" w:pos="9360"/>
      </w:tabs>
    </w:pPr>
  </w:style>
  <w:style w:type="character" w:customStyle="1" w:styleId="HeaderChar">
    <w:name w:val="Header Char"/>
    <w:basedOn w:val="DefaultParagraphFont"/>
    <w:link w:val="Header"/>
    <w:uiPriority w:val="99"/>
    <w:rsid w:val="00194680"/>
  </w:style>
  <w:style w:type="paragraph" w:styleId="Footer">
    <w:name w:val="footer"/>
    <w:basedOn w:val="Normal"/>
    <w:link w:val="FooterChar"/>
    <w:uiPriority w:val="99"/>
    <w:unhideWhenUsed/>
    <w:rsid w:val="00194680"/>
    <w:pPr>
      <w:tabs>
        <w:tab w:val="center" w:pos="4680"/>
        <w:tab w:val="right" w:pos="9360"/>
      </w:tabs>
    </w:pPr>
  </w:style>
  <w:style w:type="character" w:customStyle="1" w:styleId="FooterChar">
    <w:name w:val="Footer Char"/>
    <w:basedOn w:val="DefaultParagraphFont"/>
    <w:link w:val="Footer"/>
    <w:uiPriority w:val="99"/>
    <w:rsid w:val="00194680"/>
  </w:style>
  <w:style w:type="character" w:styleId="PageNumber">
    <w:name w:val="page number"/>
    <w:basedOn w:val="DefaultParagraphFont"/>
    <w:uiPriority w:val="99"/>
    <w:semiHidden/>
    <w:unhideWhenUsed/>
    <w:rsid w:val="00194680"/>
  </w:style>
  <w:style w:type="paragraph" w:customStyle="1" w:styleId="BasicParagraph">
    <w:name w:val="[Basic Paragraph]"/>
    <w:basedOn w:val="Normal"/>
    <w:uiPriority w:val="99"/>
    <w:rsid w:val="0019468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customStyle="1" w:styleId="Heading6Char">
    <w:name w:val="Heading 6 Char"/>
    <w:basedOn w:val="DefaultParagraphFont"/>
    <w:link w:val="Heading6"/>
    <w:uiPriority w:val="9"/>
    <w:rsid w:val="00EB1F1E"/>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EB1F1E"/>
    <w:pPr>
      <w:ind w:left="720"/>
      <w:contextualSpacing/>
    </w:pPr>
    <w:rPr>
      <w:rFonts w:eastAsiaTheme="minorEastAsia"/>
    </w:rPr>
  </w:style>
  <w:style w:type="paragraph" w:styleId="BodyText3">
    <w:name w:val="Body Text 3"/>
    <w:basedOn w:val="Normal"/>
    <w:link w:val="BodyText3Char"/>
    <w:uiPriority w:val="99"/>
    <w:semiHidden/>
    <w:unhideWhenUsed/>
    <w:rsid w:val="00EB1F1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B1F1E"/>
    <w:rPr>
      <w:rFonts w:ascii="Times New Roman" w:eastAsia="Times New Roman" w:hAnsi="Times New Roman" w:cs="Times New Roman"/>
      <w:sz w:val="16"/>
      <w:szCs w:val="16"/>
    </w:rPr>
  </w:style>
  <w:style w:type="character" w:styleId="Hyperlink">
    <w:name w:val="Hyperlink"/>
    <w:basedOn w:val="DefaultParagraphFont"/>
    <w:uiPriority w:val="99"/>
    <w:unhideWhenUsed/>
    <w:rsid w:val="00362A75"/>
    <w:rPr>
      <w:color w:val="0563C1" w:themeColor="hyperlink"/>
      <w:u w:val="single"/>
    </w:rPr>
  </w:style>
  <w:style w:type="table" w:styleId="TableGrid">
    <w:name w:val="Table Grid"/>
    <w:basedOn w:val="TableNormal"/>
    <w:uiPriority w:val="59"/>
    <w:rsid w:val="00362A7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A75"/>
    <w:rPr>
      <w:sz w:val="16"/>
      <w:szCs w:val="16"/>
    </w:rPr>
  </w:style>
  <w:style w:type="paragraph" w:styleId="CommentText">
    <w:name w:val="annotation text"/>
    <w:basedOn w:val="Normal"/>
    <w:link w:val="CommentTextChar"/>
    <w:uiPriority w:val="99"/>
    <w:semiHidden/>
    <w:unhideWhenUsed/>
    <w:rsid w:val="00362A75"/>
    <w:rPr>
      <w:sz w:val="20"/>
      <w:szCs w:val="20"/>
    </w:rPr>
  </w:style>
  <w:style w:type="character" w:customStyle="1" w:styleId="CommentTextChar">
    <w:name w:val="Comment Text Char"/>
    <w:basedOn w:val="DefaultParagraphFont"/>
    <w:link w:val="CommentText"/>
    <w:uiPriority w:val="99"/>
    <w:semiHidden/>
    <w:rsid w:val="00362A75"/>
    <w:rPr>
      <w:sz w:val="20"/>
      <w:szCs w:val="20"/>
    </w:rPr>
  </w:style>
  <w:style w:type="paragraph" w:styleId="CommentSubject">
    <w:name w:val="annotation subject"/>
    <w:basedOn w:val="CommentText"/>
    <w:next w:val="CommentText"/>
    <w:link w:val="CommentSubjectChar"/>
    <w:uiPriority w:val="99"/>
    <w:semiHidden/>
    <w:unhideWhenUsed/>
    <w:rsid w:val="00362A75"/>
    <w:rPr>
      <w:b/>
      <w:bCs/>
    </w:rPr>
  </w:style>
  <w:style w:type="character" w:customStyle="1" w:styleId="CommentSubjectChar">
    <w:name w:val="Comment Subject Char"/>
    <w:basedOn w:val="CommentTextChar"/>
    <w:link w:val="CommentSubject"/>
    <w:uiPriority w:val="99"/>
    <w:semiHidden/>
    <w:rsid w:val="00362A75"/>
    <w:rPr>
      <w:b/>
      <w:bCs/>
      <w:sz w:val="20"/>
      <w:szCs w:val="20"/>
    </w:rPr>
  </w:style>
  <w:style w:type="paragraph" w:styleId="BalloonText">
    <w:name w:val="Balloon Text"/>
    <w:basedOn w:val="Normal"/>
    <w:link w:val="BalloonTextChar"/>
    <w:uiPriority w:val="99"/>
    <w:semiHidden/>
    <w:unhideWhenUsed/>
    <w:rsid w:val="00362A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A7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B7E97"/>
    <w:rPr>
      <w:color w:val="954F72" w:themeColor="followedHyperlink"/>
      <w:u w:val="single"/>
    </w:rPr>
  </w:style>
  <w:style w:type="character" w:styleId="UnresolvedMention">
    <w:name w:val="Unresolved Mention"/>
    <w:basedOn w:val="DefaultParagraphFont"/>
    <w:uiPriority w:val="99"/>
    <w:semiHidden/>
    <w:unhideWhenUsed/>
    <w:rsid w:val="002B2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ky.com/cdn/11202_PDI_Fact_Sheet_7-2022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Butler@ky.gov"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CDF8-2FD1-4CDB-A942-D36B3911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1501</Words>
  <Characters>8558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Katie B (CED)</cp:lastModifiedBy>
  <cp:revision>2</cp:revision>
  <cp:lastPrinted>2022-07-26T13:39:00Z</cp:lastPrinted>
  <dcterms:created xsi:type="dcterms:W3CDTF">2022-07-28T12:53:00Z</dcterms:created>
  <dcterms:modified xsi:type="dcterms:W3CDTF">2022-07-28T12:53:00Z</dcterms:modified>
</cp:coreProperties>
</file>