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1683" w14:textId="77777777" w:rsidR="00266D46" w:rsidRPr="00164148" w:rsidRDefault="00266D46" w:rsidP="00237EFA">
      <w:pPr>
        <w:spacing w:after="0" w:line="240" w:lineRule="auto"/>
        <w:jc w:val="center"/>
        <w:rPr>
          <w:rFonts w:ascii="Arial" w:hAnsi="Arial" w:cs="Arial"/>
          <w:b/>
          <w:color w:val="C00000"/>
          <w:sz w:val="20"/>
          <w:szCs w:val="20"/>
        </w:rPr>
      </w:pPr>
    </w:p>
    <w:p w14:paraId="79101B59" w14:textId="37CB853A" w:rsidR="00494DA7" w:rsidRPr="00237EFA" w:rsidRDefault="00A84EE4" w:rsidP="00237EFA">
      <w:pPr>
        <w:spacing w:after="0" w:line="240" w:lineRule="auto"/>
        <w:jc w:val="center"/>
        <w:rPr>
          <w:rFonts w:ascii="Arial" w:hAnsi="Arial" w:cs="Arial"/>
          <w:color w:val="002060"/>
          <w:sz w:val="20"/>
          <w:szCs w:val="20"/>
        </w:rPr>
      </w:pPr>
      <w:r w:rsidRPr="00237EFA">
        <w:rPr>
          <w:rFonts w:ascii="Arial" w:hAnsi="Arial" w:cs="Arial"/>
          <w:b/>
          <w:color w:val="002060"/>
          <w:sz w:val="20"/>
          <w:szCs w:val="20"/>
        </w:rPr>
        <w:t>Kentucky Opportunity Zone 2.0 Designation Guide</w:t>
      </w:r>
    </w:p>
    <w:p w14:paraId="79F61CEB" w14:textId="77777777" w:rsidR="00494DA7" w:rsidRPr="00237EFA" w:rsidRDefault="00A84EE4" w:rsidP="00237EFA">
      <w:pPr>
        <w:spacing w:after="0" w:line="240" w:lineRule="auto"/>
        <w:jc w:val="center"/>
        <w:rPr>
          <w:rFonts w:ascii="Arial" w:hAnsi="Arial" w:cs="Arial"/>
          <w:iCs/>
          <w:sz w:val="20"/>
          <w:szCs w:val="20"/>
        </w:rPr>
      </w:pPr>
      <w:r w:rsidRPr="00237EFA">
        <w:rPr>
          <w:rFonts w:ascii="Arial" w:hAnsi="Arial" w:cs="Arial"/>
          <w:iCs/>
          <w:sz w:val="20"/>
          <w:szCs w:val="20"/>
        </w:rPr>
        <w:t>Criteria, Requirements, and Strategic Considerations for Community Applications</w:t>
      </w:r>
    </w:p>
    <w:p w14:paraId="71C05064" w14:textId="77777777" w:rsidR="00494DA7" w:rsidRPr="00237EFA" w:rsidRDefault="00A84EE4" w:rsidP="00237EFA">
      <w:pPr>
        <w:spacing w:after="0" w:line="240" w:lineRule="auto"/>
        <w:jc w:val="center"/>
        <w:rPr>
          <w:rFonts w:ascii="Arial" w:hAnsi="Arial" w:cs="Arial"/>
          <w:sz w:val="20"/>
          <w:szCs w:val="20"/>
        </w:rPr>
      </w:pPr>
      <w:r w:rsidRPr="00237EFA">
        <w:rPr>
          <w:rFonts w:ascii="Arial" w:hAnsi="Arial" w:cs="Arial"/>
          <w:sz w:val="20"/>
          <w:szCs w:val="20"/>
        </w:rPr>
        <w:t>February 27, 2026</w:t>
      </w:r>
    </w:p>
    <w:p w14:paraId="12AC3E3B" w14:textId="77777777" w:rsidR="00494DA7" w:rsidRPr="00237EFA" w:rsidRDefault="00A84EE4" w:rsidP="00237EFA">
      <w:pPr>
        <w:pStyle w:val="Heading1"/>
        <w:spacing w:line="240" w:lineRule="auto"/>
        <w:rPr>
          <w:rFonts w:ascii="Arial" w:hAnsi="Arial" w:cs="Arial"/>
          <w:sz w:val="20"/>
          <w:szCs w:val="20"/>
        </w:rPr>
      </w:pPr>
      <w:r w:rsidRPr="00237EFA">
        <w:rPr>
          <w:rFonts w:ascii="Arial" w:hAnsi="Arial" w:cs="Arial"/>
          <w:sz w:val="20"/>
          <w:szCs w:val="20"/>
        </w:rPr>
        <w:t>Executive Summary</w:t>
      </w:r>
    </w:p>
    <w:p w14:paraId="3B13FA36" w14:textId="79BEBDC7" w:rsidR="00494DA7" w:rsidRPr="00237EFA" w:rsidRDefault="00A84EE4" w:rsidP="000627FB">
      <w:pPr>
        <w:spacing w:line="240" w:lineRule="auto"/>
        <w:rPr>
          <w:rFonts w:ascii="Arial" w:hAnsi="Arial" w:cs="Arial"/>
          <w:sz w:val="20"/>
          <w:szCs w:val="20"/>
        </w:rPr>
      </w:pPr>
      <w:r w:rsidRPr="00237EFA">
        <w:rPr>
          <w:rFonts w:ascii="Arial" w:hAnsi="Arial" w:cs="Arial"/>
          <w:sz w:val="20"/>
          <w:szCs w:val="20"/>
        </w:rPr>
        <w:t>The Kentucky Cabinet for Economic Development is soliciting recommendations for census tracts to nominate to the U.S. Treasury for designation under</w:t>
      </w:r>
      <w:r w:rsidR="00BC1258" w:rsidRPr="00BC1258">
        <w:rPr>
          <w:rFonts w:ascii="Arial" w:hAnsi="Arial" w:cs="Arial"/>
          <w:sz w:val="20"/>
          <w:szCs w:val="20"/>
        </w:rPr>
        <w:t xml:space="preserve"> </w:t>
      </w:r>
      <w:r w:rsidR="00BC1258" w:rsidRPr="00237EFA">
        <w:rPr>
          <w:rFonts w:ascii="Arial" w:hAnsi="Arial" w:cs="Arial"/>
          <w:sz w:val="20"/>
          <w:szCs w:val="20"/>
        </w:rPr>
        <w:t>Qualified</w:t>
      </w:r>
      <w:r w:rsidRPr="00237EFA">
        <w:rPr>
          <w:rFonts w:ascii="Arial" w:hAnsi="Arial" w:cs="Arial"/>
          <w:sz w:val="20"/>
          <w:szCs w:val="20"/>
        </w:rPr>
        <w:t xml:space="preserve"> Opportunity Zone 2.0. This guide summarizes program context, eligibility, selection criteria, and application expectations to help communities prepare competitive, investment-ready proposals. It also outlines reporting </w:t>
      </w:r>
    </w:p>
    <w:p w14:paraId="0872C1A9" w14:textId="77777777" w:rsidR="00494DA7" w:rsidRPr="00237EFA" w:rsidRDefault="00A84EE4" w:rsidP="00237EFA">
      <w:pPr>
        <w:pStyle w:val="Heading1"/>
        <w:spacing w:line="240" w:lineRule="auto"/>
        <w:rPr>
          <w:rFonts w:ascii="Arial" w:hAnsi="Arial" w:cs="Arial"/>
          <w:sz w:val="20"/>
          <w:szCs w:val="20"/>
        </w:rPr>
      </w:pPr>
      <w:r w:rsidRPr="00237EFA">
        <w:rPr>
          <w:rFonts w:ascii="Arial" w:hAnsi="Arial" w:cs="Arial"/>
          <w:sz w:val="20"/>
          <w:szCs w:val="20"/>
        </w:rPr>
        <w:t>1. Purpose</w:t>
      </w:r>
    </w:p>
    <w:p w14:paraId="357C3448"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The Cabinet seeks recommendations for Qualified Opportunity Zone (QOZ) census tracts from local and regional partners. This document outlines the program context and the evaluation framework the Cabinet will use when reviewing submissions.</w:t>
      </w:r>
    </w:p>
    <w:p w14:paraId="78EE775C" w14:textId="06B37E50" w:rsidR="00494DA7" w:rsidRPr="00237EFA" w:rsidRDefault="77FB42A1" w:rsidP="00237EFA">
      <w:pPr>
        <w:pStyle w:val="Heading1"/>
        <w:spacing w:line="240" w:lineRule="auto"/>
        <w:rPr>
          <w:rFonts w:ascii="Arial" w:hAnsi="Arial" w:cs="Arial"/>
          <w:sz w:val="20"/>
          <w:szCs w:val="20"/>
        </w:rPr>
      </w:pPr>
      <w:r w:rsidRPr="6CEDA79C">
        <w:rPr>
          <w:rFonts w:ascii="Arial" w:hAnsi="Arial" w:cs="Arial"/>
          <w:sz w:val="20"/>
          <w:szCs w:val="20"/>
        </w:rPr>
        <w:t xml:space="preserve">2. </w:t>
      </w:r>
      <w:r w:rsidR="00BC1258">
        <w:rPr>
          <w:rFonts w:ascii="Arial" w:hAnsi="Arial" w:cs="Arial"/>
          <w:sz w:val="20"/>
          <w:szCs w:val="20"/>
        </w:rPr>
        <w:t xml:space="preserve">Qualified </w:t>
      </w:r>
      <w:r w:rsidRPr="6CEDA79C">
        <w:rPr>
          <w:rFonts w:ascii="Arial" w:hAnsi="Arial" w:cs="Arial"/>
          <w:sz w:val="20"/>
          <w:szCs w:val="20"/>
        </w:rPr>
        <w:t xml:space="preserve">Opportunity Zone 2.0 Overview </w:t>
      </w:r>
    </w:p>
    <w:p w14:paraId="6F65F004"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 xml:space="preserve">The federal Qualified Opportunity Zone program was created by the Tax Cuts and Jobs Act of 2017. Subsequent legislation referenced in this guidance extends and modifies the program. Highlights from the </w:t>
      </w:r>
      <w:proofErr w:type="gramStart"/>
      <w:r w:rsidRPr="00237EFA">
        <w:rPr>
          <w:rFonts w:ascii="Arial" w:hAnsi="Arial" w:cs="Arial"/>
          <w:sz w:val="20"/>
          <w:szCs w:val="20"/>
        </w:rPr>
        <w:t>draft framework</w:t>
      </w:r>
      <w:proofErr w:type="gramEnd"/>
      <w:r w:rsidRPr="00237EFA">
        <w:rPr>
          <w:rFonts w:ascii="Arial" w:hAnsi="Arial" w:cs="Arial"/>
          <w:sz w:val="20"/>
          <w:szCs w:val="20"/>
        </w:rPr>
        <w:t xml:space="preserve"> include:</w:t>
      </w:r>
    </w:p>
    <w:p w14:paraId="34B5C35D"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Permanent extension with a recurring, 10-year designation cycle. Governors propose new tracts starting July 1, 2026; new designations take effect January 1 of the following year.</w:t>
      </w:r>
    </w:p>
    <w:p w14:paraId="3C148EA4"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Stricter tract eligibility: lower income thresholds to target distressed communities; repeal of the contiguous tract rule; anti-gentrification screens.</w:t>
      </w:r>
    </w:p>
    <w:p w14:paraId="7BB10AD5"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Rolling five-year gain deferral for post-2026 investments and a simplified 10% basis step-up after five years.</w:t>
      </w:r>
    </w:p>
    <w:p w14:paraId="51F984BD"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Enhanced incentives for rural areas via a Qualified Rural Opportunity Fund (QROF) concept, with more favorable basis step-ups and reduced substantial improvement requirements.</w:t>
      </w:r>
    </w:p>
    <w:p w14:paraId="6C662E22"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Expanded reporting and compliance requirements for QOFs and QOZ businesses.</w:t>
      </w:r>
    </w:p>
    <w:p w14:paraId="2704C8A3"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A cap on gain exclusion beyond a 30-year holding period, with appreciation after that period subject to tax.</w:t>
      </w:r>
    </w:p>
    <w:p w14:paraId="7D91D979"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Note: This overview reflects the policy elements described in the draft. Applicants should rely on official federal guidance for definitive requirements.</w:t>
      </w:r>
    </w:p>
    <w:p w14:paraId="5F50E301" w14:textId="45FC8A49" w:rsidR="00494DA7" w:rsidRPr="00237EFA" w:rsidRDefault="00A84EE4" w:rsidP="00237EFA">
      <w:pPr>
        <w:pStyle w:val="Heading1"/>
        <w:spacing w:line="240" w:lineRule="auto"/>
        <w:rPr>
          <w:rFonts w:ascii="Arial" w:hAnsi="Arial" w:cs="Arial"/>
          <w:sz w:val="20"/>
          <w:szCs w:val="20"/>
        </w:rPr>
      </w:pPr>
      <w:r w:rsidRPr="00237EFA">
        <w:rPr>
          <w:rFonts w:ascii="Arial" w:hAnsi="Arial" w:cs="Arial"/>
          <w:sz w:val="20"/>
          <w:szCs w:val="20"/>
        </w:rPr>
        <w:t xml:space="preserve">3. </w:t>
      </w:r>
      <w:r w:rsidR="00BC1258">
        <w:rPr>
          <w:rFonts w:ascii="Arial" w:hAnsi="Arial" w:cs="Arial"/>
          <w:sz w:val="20"/>
          <w:szCs w:val="20"/>
        </w:rPr>
        <w:t xml:space="preserve">Federal </w:t>
      </w:r>
      <w:r w:rsidRPr="00237EFA">
        <w:rPr>
          <w:rFonts w:ascii="Arial" w:hAnsi="Arial" w:cs="Arial"/>
          <w:sz w:val="20"/>
          <w:szCs w:val="20"/>
        </w:rPr>
        <w:t>Eligibility &amp; Selection Criteria</w:t>
      </w:r>
    </w:p>
    <w:p w14:paraId="3D217481" w14:textId="77777777" w:rsidR="00494DA7" w:rsidRPr="00237EFA" w:rsidRDefault="00A84EE4" w:rsidP="00237EFA">
      <w:pPr>
        <w:pStyle w:val="Heading2"/>
        <w:spacing w:line="240" w:lineRule="auto"/>
        <w:rPr>
          <w:rFonts w:ascii="Arial" w:hAnsi="Arial" w:cs="Arial"/>
          <w:sz w:val="20"/>
          <w:szCs w:val="20"/>
        </w:rPr>
      </w:pPr>
      <w:r w:rsidRPr="00237EFA">
        <w:rPr>
          <w:rFonts w:ascii="Arial" w:hAnsi="Arial" w:cs="Arial"/>
          <w:sz w:val="20"/>
          <w:szCs w:val="20"/>
        </w:rPr>
        <w:t>3.1 Baseline Eligibility</w:t>
      </w:r>
    </w:p>
    <w:p w14:paraId="477F5C38"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Proposed tracts should satisfy statutory eligibility criteria, including rural and income-based thresholds:</w:t>
      </w:r>
    </w:p>
    <w:p w14:paraId="7C01A4A2"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Rural definition: any area other than a city or town with a population greater than 50,000, and any urbanized area contiguous and adjacent to a city or town with a population greater than 50,000.</w:t>
      </w:r>
    </w:p>
    <w:p w14:paraId="6615E850"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Income distress: median family income at or below 70% of area median, or poverty rate of 20% or higher with median family income below 125% of the applicable area median.</w:t>
      </w:r>
    </w:p>
    <w:p w14:paraId="6BC7789C" w14:textId="536453EF" w:rsidR="004B524D" w:rsidRDefault="004B524D" w:rsidP="004B524D">
      <w:pPr>
        <w:pStyle w:val="Heading1"/>
        <w:spacing w:line="240" w:lineRule="auto"/>
        <w:rPr>
          <w:rFonts w:ascii="Arial" w:hAnsi="Arial" w:cs="Arial"/>
          <w:sz w:val="20"/>
          <w:szCs w:val="20"/>
        </w:rPr>
      </w:pPr>
      <w:r w:rsidRPr="6105C94A">
        <w:rPr>
          <w:rFonts w:ascii="Arial" w:hAnsi="Arial" w:cs="Arial"/>
          <w:sz w:val="20"/>
          <w:szCs w:val="20"/>
        </w:rPr>
        <w:lastRenderedPageBreak/>
        <w:t xml:space="preserve">4. </w:t>
      </w:r>
      <w:r w:rsidR="43679428" w:rsidRPr="6105C94A">
        <w:rPr>
          <w:rFonts w:ascii="Arial" w:hAnsi="Arial" w:cs="Arial"/>
          <w:sz w:val="20"/>
          <w:szCs w:val="20"/>
        </w:rPr>
        <w:t>Kentucky</w:t>
      </w:r>
      <w:r w:rsidR="00BC1258">
        <w:rPr>
          <w:rFonts w:ascii="Arial" w:hAnsi="Arial" w:cs="Arial"/>
          <w:sz w:val="20"/>
          <w:szCs w:val="20"/>
        </w:rPr>
        <w:t xml:space="preserve"> </w:t>
      </w:r>
      <w:r w:rsidR="43679428" w:rsidRPr="6105C94A">
        <w:rPr>
          <w:rFonts w:ascii="Arial" w:hAnsi="Arial" w:cs="Arial"/>
          <w:sz w:val="20"/>
          <w:szCs w:val="20"/>
        </w:rPr>
        <w:t xml:space="preserve">Cabinet </w:t>
      </w:r>
      <w:r w:rsidRPr="6105C94A">
        <w:rPr>
          <w:rFonts w:ascii="Arial" w:hAnsi="Arial" w:cs="Arial"/>
          <w:sz w:val="20"/>
          <w:szCs w:val="20"/>
        </w:rPr>
        <w:t>Eligibility &amp; Selection Criteria</w:t>
      </w:r>
    </w:p>
    <w:p w14:paraId="717E42DD" w14:textId="168A35DE"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4.1</w:t>
      </w:r>
      <w:r w:rsidR="00A84EE4" w:rsidRPr="00237EFA">
        <w:rPr>
          <w:rFonts w:ascii="Arial" w:hAnsi="Arial" w:cs="Arial"/>
          <w:sz w:val="20"/>
          <w:szCs w:val="20"/>
        </w:rPr>
        <w:t xml:space="preserve"> Infrastructure &amp; Public Safety Access</w:t>
      </w:r>
    </w:p>
    <w:p w14:paraId="13D81784"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Tracts should be proximate to accessible roadways and existing infrastructure, and located within reasonable distance of first responders, emergency services, and public safety personnel.</w:t>
      </w:r>
    </w:p>
    <w:p w14:paraId="640AE6E9" w14:textId="42D4B668"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4.2</w:t>
      </w:r>
      <w:r w:rsidR="00A84EE4" w:rsidRPr="00237EFA">
        <w:rPr>
          <w:rFonts w:ascii="Arial" w:hAnsi="Arial" w:cs="Arial"/>
          <w:sz w:val="20"/>
          <w:szCs w:val="20"/>
        </w:rPr>
        <w:t xml:space="preserve"> Site Readiness</w:t>
      </w:r>
    </w:p>
    <w:p w14:paraId="11496F2F"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 xml:space="preserve">Sites should be capable of supporting near-term project development and, ideally, be </w:t>
      </w:r>
      <w:proofErr w:type="gramStart"/>
      <w:r w:rsidRPr="00237EFA">
        <w:rPr>
          <w:rFonts w:ascii="Arial" w:hAnsi="Arial" w:cs="Arial"/>
          <w:sz w:val="20"/>
          <w:szCs w:val="20"/>
        </w:rPr>
        <w:t>shovel-ready</w:t>
      </w:r>
      <w:proofErr w:type="gramEnd"/>
      <w:r w:rsidRPr="00237EFA">
        <w:rPr>
          <w:rFonts w:ascii="Arial" w:hAnsi="Arial" w:cs="Arial"/>
          <w:sz w:val="20"/>
          <w:szCs w:val="20"/>
        </w:rPr>
        <w:t>. For this guidance, shovel-ready means:</w:t>
      </w:r>
    </w:p>
    <w:p w14:paraId="493B1F30"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Site control documented (ownership or executable option).</w:t>
      </w:r>
    </w:p>
    <w:p w14:paraId="7C28485B"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Zoning and land-use compatibility confirmed for intended use(s).</w:t>
      </w:r>
    </w:p>
    <w:p w14:paraId="306CB5AF"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Utility availability and capacity validated (electric, gas, water, wastewater, telecom).</w:t>
      </w:r>
    </w:p>
    <w:p w14:paraId="5582C055"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Transportation access confirmed (highway/arterial proximity; rail, if applicable).</w:t>
      </w:r>
    </w:p>
    <w:p w14:paraId="14195AD8"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Environmental due diligence current and complete (see below).</w:t>
      </w:r>
    </w:p>
    <w:p w14:paraId="2BBEBB67"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No known fatal flaws (e.g., unmitigable wetlands, endangered species constraints) or a credible mitigation plan in place.</w:t>
      </w:r>
    </w:p>
    <w:p w14:paraId="4F283B54" w14:textId="0FAC1C83"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 xml:space="preserve">Environmental Site Assessment: sites with </w:t>
      </w:r>
      <w:proofErr w:type="gramStart"/>
      <w:r w:rsidR="004B524D" w:rsidRPr="00237EFA">
        <w:rPr>
          <w:rFonts w:ascii="Arial" w:hAnsi="Arial" w:cs="Arial"/>
          <w:sz w:val="20"/>
          <w:szCs w:val="20"/>
        </w:rPr>
        <w:t>completed</w:t>
      </w:r>
      <w:proofErr w:type="gramEnd"/>
      <w:r w:rsidRPr="00237EFA">
        <w:rPr>
          <w:rFonts w:ascii="Arial" w:hAnsi="Arial" w:cs="Arial"/>
          <w:sz w:val="20"/>
          <w:szCs w:val="20"/>
        </w:rPr>
        <w:t xml:space="preserve"> Phase I (and Phase II if warranted) within the last three years will receive higher consideration.</w:t>
      </w:r>
    </w:p>
    <w:p w14:paraId="5578E858" w14:textId="3D31F550"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4.3</w:t>
      </w:r>
      <w:r w:rsidR="00A84EE4" w:rsidRPr="00237EFA">
        <w:rPr>
          <w:rFonts w:ascii="Arial" w:hAnsi="Arial" w:cs="Arial"/>
          <w:sz w:val="20"/>
          <w:szCs w:val="20"/>
        </w:rPr>
        <w:t xml:space="preserve"> Alignment with Statewide &amp; Regional Strategy</w:t>
      </w:r>
    </w:p>
    <w:p w14:paraId="1A766837"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Applications should demonstrate alignment with Kentucky’s target industries, regional growth corridors, and existing state investments in workforce, infrastructure, and site development.</w:t>
      </w:r>
    </w:p>
    <w:p w14:paraId="4B88BD34" w14:textId="15C5DEE5"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4.4</w:t>
      </w:r>
      <w:r w:rsidR="00A84EE4" w:rsidRPr="00237EFA">
        <w:rPr>
          <w:rFonts w:ascii="Arial" w:hAnsi="Arial" w:cs="Arial"/>
          <w:sz w:val="20"/>
          <w:szCs w:val="20"/>
        </w:rPr>
        <w:t xml:space="preserve"> Market Demand &amp; Investment Potential</w:t>
      </w:r>
    </w:p>
    <w:p w14:paraId="57CF48B5"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 xml:space="preserve">Provide evidence of credible market interest and </w:t>
      </w:r>
      <w:proofErr w:type="gramStart"/>
      <w:r w:rsidRPr="00237EFA">
        <w:rPr>
          <w:rFonts w:ascii="Arial" w:hAnsi="Arial" w:cs="Arial"/>
          <w:sz w:val="20"/>
          <w:szCs w:val="20"/>
        </w:rPr>
        <w:t>demand</w:t>
      </w:r>
      <w:proofErr w:type="gramEnd"/>
      <w:r w:rsidRPr="00237EFA">
        <w:rPr>
          <w:rFonts w:ascii="Arial" w:hAnsi="Arial" w:cs="Arial"/>
          <w:sz w:val="20"/>
          <w:szCs w:val="20"/>
        </w:rPr>
        <w:t xml:space="preserve"> drivers, such as:</w:t>
      </w:r>
    </w:p>
    <w:p w14:paraId="46253945"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Active or recent RFIs, site searches, or developer inquiries.</w:t>
      </w:r>
    </w:p>
    <w:p w14:paraId="1D12ED07"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Comparable developments in the region or peer markets.</w:t>
      </w:r>
    </w:p>
    <w:p w14:paraId="7A1BDAAA"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Demand drivers (supply chain shifts, reshoring, housing needs, energy transition).</w:t>
      </w:r>
    </w:p>
    <w:p w14:paraId="19A0A3A5" w14:textId="52679A1F"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4.5</w:t>
      </w:r>
      <w:r w:rsidR="00A84EE4" w:rsidRPr="00237EFA">
        <w:rPr>
          <w:rFonts w:ascii="Arial" w:hAnsi="Arial" w:cs="Arial"/>
          <w:sz w:val="20"/>
          <w:szCs w:val="20"/>
        </w:rPr>
        <w:t xml:space="preserve"> Highest and Best Use</w:t>
      </w:r>
      <w:r w:rsidR="00DB58D1">
        <w:rPr>
          <w:rFonts w:ascii="Arial" w:hAnsi="Arial" w:cs="Arial"/>
          <w:sz w:val="20"/>
          <w:szCs w:val="20"/>
        </w:rPr>
        <w:t xml:space="preserve"> Rationale</w:t>
      </w:r>
    </w:p>
    <w:p w14:paraId="42B2BC65"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Identify a primary use case for the tract and explain any compatible secondary uses and phasing. Typical use cases include:</w:t>
      </w:r>
    </w:p>
    <w:p w14:paraId="5DF24528"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Industrial/manufacturing.</w:t>
      </w:r>
    </w:p>
    <w:p w14:paraId="325400E6"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Logistics/warehousing.</w:t>
      </w:r>
    </w:p>
    <w:p w14:paraId="5BB34A93"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Workforce or mixed-income housing.</w:t>
      </w:r>
    </w:p>
    <w:p w14:paraId="0840CD23"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Energy or infrastructure-oriented development.</w:t>
      </w:r>
    </w:p>
    <w:p w14:paraId="390A6220" w14:textId="183E2583"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4.6</w:t>
      </w:r>
      <w:r w:rsidR="00A84EE4" w:rsidRPr="00237EFA">
        <w:rPr>
          <w:rFonts w:ascii="Arial" w:hAnsi="Arial" w:cs="Arial"/>
          <w:sz w:val="20"/>
          <w:szCs w:val="20"/>
        </w:rPr>
        <w:t xml:space="preserve"> Workforce Availability &amp; Training Alignment</w:t>
      </w:r>
    </w:p>
    <w:p w14:paraId="5E63381F"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Assess proximity to available labor and access to training partners (community colleges, technical schools) and sector-aligned programs.</w:t>
      </w:r>
    </w:p>
    <w:p w14:paraId="1F6CD694" w14:textId="702E693F"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t>4.7</w:t>
      </w:r>
      <w:r w:rsidR="00A84EE4" w:rsidRPr="00237EFA">
        <w:rPr>
          <w:rFonts w:ascii="Arial" w:hAnsi="Arial" w:cs="Arial"/>
          <w:sz w:val="20"/>
          <w:szCs w:val="20"/>
        </w:rPr>
        <w:t xml:space="preserve"> Local Financial &amp; Policy Commitment</w:t>
      </w:r>
    </w:p>
    <w:p w14:paraId="2D70B306"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Stronger submissions will demonstrate local commitment through:</w:t>
      </w:r>
    </w:p>
    <w:p w14:paraId="5790BD0D"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Local incentives (tax abatement, TIF, PILOT, fee waivers).</w:t>
      </w:r>
    </w:p>
    <w:p w14:paraId="66B18DB0" w14:textId="77777777" w:rsidR="00494DA7" w:rsidRDefault="00A84EE4" w:rsidP="00237EFA">
      <w:pPr>
        <w:pStyle w:val="ListBullet"/>
        <w:spacing w:line="240" w:lineRule="auto"/>
        <w:rPr>
          <w:rFonts w:ascii="Arial" w:hAnsi="Arial" w:cs="Arial"/>
          <w:sz w:val="20"/>
          <w:szCs w:val="20"/>
        </w:rPr>
      </w:pPr>
      <w:r w:rsidRPr="00237EFA">
        <w:rPr>
          <w:rFonts w:ascii="Arial" w:hAnsi="Arial" w:cs="Arial"/>
          <w:sz w:val="20"/>
          <w:szCs w:val="20"/>
        </w:rPr>
        <w:t>Infrastructure cost sharing or site-preparation funding.</w:t>
      </w:r>
    </w:p>
    <w:p w14:paraId="696253C2" w14:textId="6FDECE84" w:rsidR="00542217" w:rsidRPr="00237EFA" w:rsidRDefault="00542217" w:rsidP="00237EFA">
      <w:pPr>
        <w:pStyle w:val="ListBullet"/>
        <w:spacing w:line="240" w:lineRule="auto"/>
        <w:rPr>
          <w:rFonts w:ascii="Arial" w:hAnsi="Arial" w:cs="Arial"/>
          <w:sz w:val="20"/>
          <w:szCs w:val="20"/>
        </w:rPr>
      </w:pPr>
      <w:r>
        <w:rPr>
          <w:rFonts w:ascii="Arial" w:hAnsi="Arial" w:cs="Arial"/>
          <w:sz w:val="20"/>
          <w:szCs w:val="20"/>
        </w:rPr>
        <w:t>History of state or local grants</w:t>
      </w:r>
    </w:p>
    <w:p w14:paraId="44957D57"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Streamlined permitting or zoning certainty.</w:t>
      </w:r>
    </w:p>
    <w:p w14:paraId="35F65BBB"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Public–private partnerships or development agreements in progress.</w:t>
      </w:r>
    </w:p>
    <w:p w14:paraId="4729E8B4" w14:textId="58271076" w:rsidR="00494DA7" w:rsidRPr="00237EFA" w:rsidRDefault="004B524D" w:rsidP="00237EFA">
      <w:pPr>
        <w:pStyle w:val="Heading2"/>
        <w:spacing w:line="240" w:lineRule="auto"/>
        <w:rPr>
          <w:rFonts w:ascii="Arial" w:hAnsi="Arial" w:cs="Arial"/>
          <w:sz w:val="20"/>
          <w:szCs w:val="20"/>
        </w:rPr>
      </w:pPr>
      <w:r>
        <w:rPr>
          <w:rFonts w:ascii="Arial" w:hAnsi="Arial" w:cs="Arial"/>
          <w:sz w:val="20"/>
          <w:szCs w:val="20"/>
        </w:rPr>
        <w:lastRenderedPageBreak/>
        <w:t>4.</w:t>
      </w:r>
      <w:r w:rsidR="000627FB">
        <w:rPr>
          <w:rFonts w:ascii="Arial" w:hAnsi="Arial" w:cs="Arial"/>
          <w:sz w:val="20"/>
          <w:szCs w:val="20"/>
        </w:rPr>
        <w:t>8</w:t>
      </w:r>
      <w:r w:rsidR="00A84EE4" w:rsidRPr="00237EFA">
        <w:rPr>
          <w:rFonts w:ascii="Arial" w:hAnsi="Arial" w:cs="Arial"/>
          <w:sz w:val="20"/>
          <w:szCs w:val="20"/>
        </w:rPr>
        <w:t xml:space="preserve"> Long-Term Community &amp; Economic Impact</w:t>
      </w:r>
    </w:p>
    <w:p w14:paraId="2DD11E14" w14:textId="77777777" w:rsidR="00494DA7" w:rsidRDefault="00A84EE4" w:rsidP="00237EFA">
      <w:pPr>
        <w:spacing w:line="240" w:lineRule="auto"/>
        <w:rPr>
          <w:rFonts w:ascii="Arial" w:hAnsi="Arial" w:cs="Arial"/>
          <w:sz w:val="20"/>
          <w:szCs w:val="20"/>
        </w:rPr>
      </w:pPr>
      <w:r w:rsidRPr="00237EFA">
        <w:rPr>
          <w:rFonts w:ascii="Arial" w:hAnsi="Arial" w:cs="Arial"/>
          <w:sz w:val="20"/>
          <w:szCs w:val="20"/>
        </w:rPr>
        <w:t>Describe anticipated outcomes, including job creation, wage quality, housing affordability/supply impacts, business formation, tax base growth, and long-term community stabilization.</w:t>
      </w:r>
    </w:p>
    <w:p w14:paraId="5E529971" w14:textId="5231CAA4" w:rsidR="009E0F04" w:rsidRPr="00237EFA" w:rsidRDefault="009E0F04" w:rsidP="009E0F04">
      <w:pPr>
        <w:pStyle w:val="Heading1"/>
        <w:spacing w:line="240" w:lineRule="auto"/>
        <w:rPr>
          <w:rFonts w:ascii="Arial" w:hAnsi="Arial" w:cs="Arial"/>
          <w:sz w:val="20"/>
          <w:szCs w:val="20"/>
        </w:rPr>
      </w:pPr>
      <w:r>
        <w:rPr>
          <w:rFonts w:ascii="Arial" w:hAnsi="Arial" w:cs="Arial"/>
          <w:sz w:val="20"/>
          <w:szCs w:val="20"/>
        </w:rPr>
        <w:t>4.9</w:t>
      </w:r>
      <w:r w:rsidRPr="00237EFA">
        <w:rPr>
          <w:rFonts w:ascii="Arial" w:hAnsi="Arial" w:cs="Arial"/>
          <w:sz w:val="20"/>
          <w:szCs w:val="20"/>
        </w:rPr>
        <w:t>. Rationale for Recommendation (Business Case)</w:t>
      </w:r>
    </w:p>
    <w:p w14:paraId="21D56349" w14:textId="77777777" w:rsidR="009E0F04" w:rsidRPr="00237EFA" w:rsidRDefault="009E0F04" w:rsidP="009E0F04">
      <w:pPr>
        <w:spacing w:line="240" w:lineRule="auto"/>
        <w:rPr>
          <w:rFonts w:ascii="Arial" w:hAnsi="Arial" w:cs="Arial"/>
          <w:sz w:val="20"/>
          <w:szCs w:val="20"/>
        </w:rPr>
      </w:pPr>
      <w:r w:rsidRPr="00237EFA">
        <w:rPr>
          <w:rFonts w:ascii="Arial" w:hAnsi="Arial" w:cs="Arial"/>
          <w:sz w:val="20"/>
          <w:szCs w:val="20"/>
        </w:rPr>
        <w:t>In addition to the criteria above, address the following in your recommendation:</w:t>
      </w:r>
    </w:p>
    <w:p w14:paraId="124EBC31" w14:textId="77777777" w:rsidR="009E0F04" w:rsidRPr="00237EFA" w:rsidRDefault="009E0F04" w:rsidP="009E0F04">
      <w:pPr>
        <w:pStyle w:val="ListBullet"/>
        <w:spacing w:line="240" w:lineRule="auto"/>
        <w:rPr>
          <w:rFonts w:ascii="Arial" w:hAnsi="Arial" w:cs="Arial"/>
          <w:sz w:val="20"/>
          <w:szCs w:val="20"/>
        </w:rPr>
      </w:pPr>
      <w:r w:rsidRPr="00237EFA">
        <w:rPr>
          <w:rFonts w:ascii="Arial" w:hAnsi="Arial" w:cs="Arial"/>
          <w:sz w:val="20"/>
          <w:szCs w:val="20"/>
        </w:rPr>
        <w:t>Why is this tract more competitive for Opportunity Zone designation than other eligible tracts in the region or state?</w:t>
      </w:r>
    </w:p>
    <w:p w14:paraId="71966104" w14:textId="77777777" w:rsidR="009E0F04" w:rsidRPr="00237EFA" w:rsidRDefault="009E0F04" w:rsidP="009E0F04">
      <w:pPr>
        <w:pStyle w:val="ListBullet"/>
        <w:spacing w:line="240" w:lineRule="auto"/>
        <w:rPr>
          <w:rFonts w:ascii="Arial" w:hAnsi="Arial" w:cs="Arial"/>
          <w:sz w:val="20"/>
          <w:szCs w:val="20"/>
        </w:rPr>
      </w:pPr>
      <w:r w:rsidRPr="00237EFA">
        <w:rPr>
          <w:rFonts w:ascii="Arial" w:hAnsi="Arial" w:cs="Arial"/>
          <w:sz w:val="20"/>
          <w:szCs w:val="20"/>
        </w:rPr>
        <w:t>What is the economic development attraction strategy for OZ investors?</w:t>
      </w:r>
    </w:p>
    <w:p w14:paraId="3114BFA7" w14:textId="77777777" w:rsidR="009E0F04" w:rsidRPr="00237EFA" w:rsidRDefault="009E0F04" w:rsidP="009E0F04">
      <w:pPr>
        <w:pStyle w:val="ListBullet"/>
        <w:spacing w:line="240" w:lineRule="auto"/>
        <w:rPr>
          <w:rFonts w:ascii="Arial" w:hAnsi="Arial" w:cs="Arial"/>
          <w:sz w:val="20"/>
          <w:szCs w:val="20"/>
        </w:rPr>
      </w:pPr>
      <w:r w:rsidRPr="00237EFA">
        <w:rPr>
          <w:rFonts w:ascii="Arial" w:hAnsi="Arial" w:cs="Arial"/>
          <w:sz w:val="20"/>
          <w:szCs w:val="20"/>
        </w:rPr>
        <w:t>Which industries and sectors are targeted within the zone?</w:t>
      </w:r>
    </w:p>
    <w:p w14:paraId="04094469" w14:textId="77777777" w:rsidR="009E0F04" w:rsidRPr="00237EFA" w:rsidRDefault="009E0F04" w:rsidP="009E0F04">
      <w:pPr>
        <w:pStyle w:val="ListBullet"/>
        <w:spacing w:line="240" w:lineRule="auto"/>
        <w:rPr>
          <w:rFonts w:ascii="Arial" w:hAnsi="Arial" w:cs="Arial"/>
          <w:sz w:val="20"/>
          <w:szCs w:val="20"/>
        </w:rPr>
      </w:pPr>
      <w:r w:rsidRPr="00237EFA">
        <w:rPr>
          <w:rFonts w:ascii="Arial" w:hAnsi="Arial" w:cs="Arial"/>
          <w:sz w:val="20"/>
          <w:szCs w:val="20"/>
        </w:rPr>
        <w:t>Which state and local stakeholders are involved in deployment?</w:t>
      </w:r>
    </w:p>
    <w:p w14:paraId="72922258" w14:textId="77777777" w:rsidR="009E0F04" w:rsidRPr="00237EFA" w:rsidRDefault="009E0F04" w:rsidP="009E0F04">
      <w:pPr>
        <w:pStyle w:val="ListBullet"/>
        <w:spacing w:line="240" w:lineRule="auto"/>
        <w:rPr>
          <w:rFonts w:ascii="Arial" w:hAnsi="Arial" w:cs="Arial"/>
          <w:sz w:val="20"/>
          <w:szCs w:val="20"/>
        </w:rPr>
      </w:pPr>
      <w:r w:rsidRPr="00237EFA">
        <w:rPr>
          <w:rFonts w:ascii="Arial" w:hAnsi="Arial" w:cs="Arial"/>
          <w:sz w:val="20"/>
          <w:szCs w:val="20"/>
        </w:rPr>
        <w:t>What unique assets or locational advantages make this tract attractive to OZ investors?</w:t>
      </w:r>
    </w:p>
    <w:p w14:paraId="4929A959" w14:textId="6F62DE01" w:rsidR="009E0F04" w:rsidRPr="009E0F04" w:rsidRDefault="009E0F04" w:rsidP="00237EFA">
      <w:pPr>
        <w:pStyle w:val="ListBullet"/>
        <w:spacing w:line="240" w:lineRule="auto"/>
        <w:rPr>
          <w:rFonts w:ascii="Arial" w:hAnsi="Arial" w:cs="Arial"/>
          <w:sz w:val="20"/>
          <w:szCs w:val="20"/>
        </w:rPr>
      </w:pPr>
      <w:r w:rsidRPr="00237EFA">
        <w:rPr>
          <w:rFonts w:ascii="Arial" w:hAnsi="Arial" w:cs="Arial"/>
          <w:sz w:val="20"/>
          <w:szCs w:val="20"/>
        </w:rPr>
        <w:t>If this tract is not designated, what economic development opportunities would likely be delayed or lost?</w:t>
      </w:r>
    </w:p>
    <w:p w14:paraId="4A7BB331" w14:textId="4053D0FE" w:rsidR="00494DA7" w:rsidRPr="00237EFA" w:rsidRDefault="004B524D" w:rsidP="00237EFA">
      <w:pPr>
        <w:pStyle w:val="Heading1"/>
        <w:spacing w:line="240" w:lineRule="auto"/>
        <w:rPr>
          <w:rFonts w:ascii="Arial" w:hAnsi="Arial" w:cs="Arial"/>
          <w:sz w:val="20"/>
          <w:szCs w:val="20"/>
        </w:rPr>
      </w:pPr>
      <w:r>
        <w:rPr>
          <w:rFonts w:ascii="Arial" w:hAnsi="Arial" w:cs="Arial"/>
          <w:sz w:val="20"/>
          <w:szCs w:val="20"/>
        </w:rPr>
        <w:t>5</w:t>
      </w:r>
      <w:r w:rsidR="00A84EE4" w:rsidRPr="00237EFA">
        <w:rPr>
          <w:rFonts w:ascii="Arial" w:hAnsi="Arial" w:cs="Arial"/>
          <w:sz w:val="20"/>
          <w:szCs w:val="20"/>
        </w:rPr>
        <w:t>. Application Requirements &amp; Reporting</w:t>
      </w:r>
    </w:p>
    <w:p w14:paraId="0696350C" w14:textId="086F13BF"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Applications should</w:t>
      </w:r>
      <w:r w:rsidR="009B36A3">
        <w:rPr>
          <w:rFonts w:ascii="Arial" w:hAnsi="Arial" w:cs="Arial"/>
          <w:sz w:val="20"/>
          <w:szCs w:val="20"/>
        </w:rPr>
        <w:t xml:space="preserve"> complete the excel-based application, which includes the following </w:t>
      </w:r>
      <w:r w:rsidRPr="00237EFA">
        <w:rPr>
          <w:rFonts w:ascii="Arial" w:hAnsi="Arial" w:cs="Arial"/>
          <w:sz w:val="20"/>
          <w:szCs w:val="20"/>
        </w:rPr>
        <w:t>components:</w:t>
      </w:r>
    </w:p>
    <w:p w14:paraId="4B7DC375"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Census tract identifiers and maps.</w:t>
      </w:r>
    </w:p>
    <w:p w14:paraId="32C03EE4"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A narrative addressing Sections 3.1–3.9 criteria.</w:t>
      </w:r>
    </w:p>
    <w:p w14:paraId="14396D13"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Evidence of demand (RFIs, prospect lists, letters of interest).</w:t>
      </w:r>
    </w:p>
    <w:p w14:paraId="7A1A26E0"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Letters of support from local partners and training institutions.</w:t>
      </w:r>
    </w:p>
    <w:p w14:paraId="58524953"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Summary of incentives and policy commitments.</w:t>
      </w:r>
    </w:p>
    <w:p w14:paraId="67D3C8FF" w14:textId="77777777" w:rsidR="00494DA7" w:rsidRPr="00237EFA" w:rsidRDefault="00A84EE4" w:rsidP="00237EFA">
      <w:pPr>
        <w:pStyle w:val="ListBullet"/>
        <w:spacing w:line="240" w:lineRule="auto"/>
        <w:rPr>
          <w:rFonts w:ascii="Arial" w:hAnsi="Arial" w:cs="Arial"/>
          <w:sz w:val="20"/>
          <w:szCs w:val="20"/>
        </w:rPr>
      </w:pPr>
      <w:r w:rsidRPr="00237EFA">
        <w:rPr>
          <w:rFonts w:ascii="Arial" w:hAnsi="Arial" w:cs="Arial"/>
          <w:sz w:val="20"/>
          <w:szCs w:val="20"/>
        </w:rPr>
        <w:t>Site readiness documentation and environmental reports (executive summaries).</w:t>
      </w:r>
    </w:p>
    <w:p w14:paraId="42D2C24B" w14:textId="10548A50" w:rsidR="00494DA7" w:rsidRPr="00237EFA" w:rsidRDefault="00F81C8B" w:rsidP="00237EFA">
      <w:pPr>
        <w:spacing w:line="240" w:lineRule="auto"/>
        <w:rPr>
          <w:rFonts w:ascii="Arial" w:hAnsi="Arial" w:cs="Arial"/>
          <w:sz w:val="20"/>
          <w:szCs w:val="20"/>
        </w:rPr>
      </w:pPr>
      <w:r>
        <w:rPr>
          <w:rFonts w:ascii="Arial" w:hAnsi="Arial" w:cs="Arial"/>
          <w:sz w:val="20"/>
          <w:szCs w:val="20"/>
        </w:rPr>
        <w:t xml:space="preserve">Reporting Note: </w:t>
      </w:r>
      <w:r w:rsidR="00A84EE4" w:rsidRPr="00237EFA">
        <w:rPr>
          <w:rFonts w:ascii="Arial" w:hAnsi="Arial" w:cs="Arial"/>
          <w:sz w:val="20"/>
          <w:szCs w:val="20"/>
        </w:rPr>
        <w:t>Quarterly reporting (for selected zones): Applicants must commit to submitting updates to the Cabinet’s Opportunity Zone Team, including total investment, number of investors, and current or upcoming OZ projects.</w:t>
      </w:r>
    </w:p>
    <w:p w14:paraId="0DBAA00E" w14:textId="77777777" w:rsidR="00237EFA" w:rsidRPr="00683762" w:rsidRDefault="00237EFA" w:rsidP="00237EFA">
      <w:pPr>
        <w:pStyle w:val="ListBullet"/>
        <w:numPr>
          <w:ilvl w:val="0"/>
          <w:numId w:val="0"/>
        </w:numPr>
        <w:spacing w:line="240" w:lineRule="auto"/>
        <w:ind w:left="360" w:hanging="360"/>
        <w:rPr>
          <w:rFonts w:ascii="Arial" w:eastAsiaTheme="majorEastAsia" w:hAnsi="Arial" w:cs="Arial"/>
          <w:b/>
          <w:bCs/>
          <w:color w:val="365F91" w:themeColor="accent1" w:themeShade="BF"/>
          <w:sz w:val="20"/>
          <w:szCs w:val="20"/>
        </w:rPr>
      </w:pPr>
    </w:p>
    <w:p w14:paraId="6C84F5E2" w14:textId="77777777" w:rsidR="00237EFA" w:rsidRDefault="00237EFA" w:rsidP="00D75E9C">
      <w:pPr>
        <w:pStyle w:val="ListBullet"/>
        <w:numPr>
          <w:ilvl w:val="0"/>
          <w:numId w:val="0"/>
        </w:numPr>
        <w:spacing w:line="240" w:lineRule="auto"/>
        <w:rPr>
          <w:rFonts w:ascii="Arial" w:hAnsi="Arial" w:cs="Arial"/>
          <w:sz w:val="20"/>
          <w:szCs w:val="20"/>
        </w:rPr>
      </w:pPr>
    </w:p>
    <w:p w14:paraId="7A4AD8E7" w14:textId="77777777" w:rsidR="00237EFA" w:rsidRDefault="00237EFA" w:rsidP="0002637C">
      <w:pPr>
        <w:pStyle w:val="ListBullet"/>
        <w:numPr>
          <w:ilvl w:val="0"/>
          <w:numId w:val="0"/>
        </w:numPr>
        <w:spacing w:line="240" w:lineRule="auto"/>
        <w:rPr>
          <w:rFonts w:ascii="Arial" w:hAnsi="Arial" w:cs="Arial"/>
          <w:sz w:val="20"/>
          <w:szCs w:val="20"/>
        </w:rPr>
      </w:pPr>
    </w:p>
    <w:p w14:paraId="7730A17E"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4CED867E"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6B34F709"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1FBBA04C"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56BC2C61"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5DB32229"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772340AF"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1A40EAE4"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0FC44266"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214E9C84"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614BFC5D"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74C2EF3C"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1D6A0852"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4D859BAA" w14:textId="77777777" w:rsidR="00683762" w:rsidRDefault="00683762" w:rsidP="00237EFA">
      <w:pPr>
        <w:pStyle w:val="ListBullet"/>
        <w:numPr>
          <w:ilvl w:val="0"/>
          <w:numId w:val="0"/>
        </w:numPr>
        <w:spacing w:line="240" w:lineRule="auto"/>
        <w:ind w:left="360" w:hanging="360"/>
        <w:rPr>
          <w:rFonts w:ascii="Arial" w:hAnsi="Arial" w:cs="Arial"/>
          <w:sz w:val="20"/>
          <w:szCs w:val="20"/>
        </w:rPr>
      </w:pPr>
    </w:p>
    <w:p w14:paraId="5146FBC4" w14:textId="77777777" w:rsidR="00683762" w:rsidRDefault="00683762" w:rsidP="00237EFA">
      <w:pPr>
        <w:pStyle w:val="ListBullet"/>
        <w:numPr>
          <w:ilvl w:val="0"/>
          <w:numId w:val="0"/>
        </w:numPr>
        <w:spacing w:line="240" w:lineRule="auto"/>
        <w:ind w:left="360" w:hanging="360"/>
        <w:rPr>
          <w:rFonts w:ascii="Arial" w:hAnsi="Arial" w:cs="Arial"/>
          <w:sz w:val="20"/>
          <w:szCs w:val="20"/>
        </w:rPr>
      </w:pPr>
    </w:p>
    <w:p w14:paraId="3DBF5ED2" w14:textId="77777777" w:rsidR="00683762" w:rsidRDefault="00683762" w:rsidP="00237EFA">
      <w:pPr>
        <w:pStyle w:val="ListBullet"/>
        <w:numPr>
          <w:ilvl w:val="0"/>
          <w:numId w:val="0"/>
        </w:numPr>
        <w:spacing w:line="240" w:lineRule="auto"/>
        <w:ind w:left="360" w:hanging="360"/>
        <w:rPr>
          <w:rFonts w:ascii="Arial" w:hAnsi="Arial" w:cs="Arial"/>
          <w:sz w:val="20"/>
          <w:szCs w:val="20"/>
        </w:rPr>
      </w:pPr>
    </w:p>
    <w:p w14:paraId="72496F51" w14:textId="77777777" w:rsidR="00683762" w:rsidRDefault="00683762" w:rsidP="00237EFA">
      <w:pPr>
        <w:pStyle w:val="ListBullet"/>
        <w:numPr>
          <w:ilvl w:val="0"/>
          <w:numId w:val="0"/>
        </w:numPr>
        <w:spacing w:line="240" w:lineRule="auto"/>
        <w:ind w:left="360" w:hanging="360"/>
        <w:rPr>
          <w:rFonts w:ascii="Arial" w:hAnsi="Arial" w:cs="Arial"/>
          <w:sz w:val="20"/>
          <w:szCs w:val="20"/>
        </w:rPr>
      </w:pPr>
    </w:p>
    <w:p w14:paraId="6E2B7D3D" w14:textId="77777777" w:rsidR="00683762" w:rsidRDefault="00683762" w:rsidP="00237EFA">
      <w:pPr>
        <w:pStyle w:val="ListBullet"/>
        <w:numPr>
          <w:ilvl w:val="0"/>
          <w:numId w:val="0"/>
        </w:numPr>
        <w:spacing w:line="240" w:lineRule="auto"/>
        <w:ind w:left="360" w:hanging="360"/>
        <w:rPr>
          <w:rFonts w:ascii="Arial" w:hAnsi="Arial" w:cs="Arial"/>
          <w:sz w:val="20"/>
          <w:szCs w:val="20"/>
        </w:rPr>
      </w:pPr>
    </w:p>
    <w:p w14:paraId="01936B5C"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4BD74280" w14:textId="77777777" w:rsidR="00237EFA" w:rsidRDefault="00237EFA" w:rsidP="00237EFA">
      <w:pPr>
        <w:pStyle w:val="ListBullet"/>
        <w:numPr>
          <w:ilvl w:val="0"/>
          <w:numId w:val="0"/>
        </w:numPr>
        <w:spacing w:line="240" w:lineRule="auto"/>
        <w:ind w:left="360" w:hanging="360"/>
        <w:rPr>
          <w:rFonts w:ascii="Arial" w:hAnsi="Arial" w:cs="Arial"/>
          <w:sz w:val="20"/>
          <w:szCs w:val="20"/>
        </w:rPr>
      </w:pPr>
    </w:p>
    <w:p w14:paraId="6E0C9557" w14:textId="77777777" w:rsidR="00237EFA" w:rsidRPr="00237EFA" w:rsidRDefault="00237EFA" w:rsidP="00237EFA">
      <w:pPr>
        <w:pStyle w:val="ListBullet"/>
        <w:numPr>
          <w:ilvl w:val="0"/>
          <w:numId w:val="0"/>
        </w:numPr>
        <w:spacing w:line="240" w:lineRule="auto"/>
        <w:ind w:left="360" w:hanging="360"/>
        <w:rPr>
          <w:rFonts w:ascii="Arial" w:hAnsi="Arial" w:cs="Arial"/>
          <w:sz w:val="20"/>
          <w:szCs w:val="20"/>
        </w:rPr>
      </w:pPr>
    </w:p>
    <w:p w14:paraId="38C55A65" w14:textId="77777777" w:rsidR="00494DA7" w:rsidRPr="00237EFA" w:rsidRDefault="00A84EE4" w:rsidP="00237EFA">
      <w:pPr>
        <w:pStyle w:val="Heading1"/>
        <w:spacing w:line="240" w:lineRule="auto"/>
        <w:rPr>
          <w:rFonts w:ascii="Arial" w:hAnsi="Arial" w:cs="Arial"/>
          <w:sz w:val="20"/>
          <w:szCs w:val="20"/>
        </w:rPr>
      </w:pPr>
      <w:r w:rsidRPr="00237EFA">
        <w:rPr>
          <w:rFonts w:ascii="Arial" w:hAnsi="Arial" w:cs="Arial"/>
          <w:sz w:val="20"/>
          <w:szCs w:val="20"/>
        </w:rPr>
        <w:t>Appendix A. Applicant Checklist</w:t>
      </w:r>
    </w:p>
    <w:p w14:paraId="0629B893"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Use this checklist to confirm readiness and completeness before submitting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250"/>
        <w:gridCol w:w="1863"/>
        <w:gridCol w:w="1734"/>
      </w:tblGrid>
      <w:tr w:rsidR="00494DA7" w:rsidRPr="00237EFA" w14:paraId="3C156E73" w14:textId="77777777" w:rsidTr="00F81C8B">
        <w:trPr>
          <w:trHeight w:val="251"/>
        </w:trPr>
        <w:tc>
          <w:tcPr>
            <w:tcW w:w="2873" w:type="dxa"/>
            <w:shd w:val="clear" w:color="auto" w:fill="002060"/>
            <w:vAlign w:val="center"/>
          </w:tcPr>
          <w:p w14:paraId="099A97C1" w14:textId="65071031" w:rsidR="00494DA7" w:rsidRPr="00237EFA" w:rsidRDefault="00A84EE4" w:rsidP="00237EFA">
            <w:pPr>
              <w:spacing w:line="240" w:lineRule="auto"/>
              <w:jc w:val="center"/>
              <w:rPr>
                <w:rFonts w:ascii="Arial" w:hAnsi="Arial" w:cs="Arial"/>
                <w:b/>
                <w:bCs/>
                <w:color w:val="FFFFFF" w:themeColor="background1"/>
                <w:sz w:val="20"/>
                <w:szCs w:val="20"/>
              </w:rPr>
            </w:pPr>
            <w:r w:rsidRPr="00237EFA">
              <w:rPr>
                <w:rFonts w:ascii="Arial" w:hAnsi="Arial" w:cs="Arial"/>
                <w:b/>
                <w:bCs/>
                <w:color w:val="FFFFFF" w:themeColor="background1"/>
                <w:sz w:val="20"/>
                <w:szCs w:val="20"/>
              </w:rPr>
              <w:t>Ite</w:t>
            </w:r>
            <w:r w:rsidR="00237EFA">
              <w:rPr>
                <w:rFonts w:ascii="Arial" w:hAnsi="Arial" w:cs="Arial"/>
                <w:b/>
                <w:bCs/>
                <w:color w:val="FFFFFF" w:themeColor="background1"/>
                <w:sz w:val="20"/>
                <w:szCs w:val="20"/>
              </w:rPr>
              <w:t>m</w:t>
            </w:r>
          </w:p>
        </w:tc>
        <w:tc>
          <w:tcPr>
            <w:tcW w:w="2250" w:type="dxa"/>
            <w:shd w:val="clear" w:color="auto" w:fill="002060"/>
            <w:vAlign w:val="center"/>
          </w:tcPr>
          <w:p w14:paraId="0ABC6B02" w14:textId="77777777" w:rsidR="00494DA7" w:rsidRPr="00237EFA" w:rsidRDefault="00A84EE4" w:rsidP="00237EFA">
            <w:pPr>
              <w:spacing w:line="240" w:lineRule="auto"/>
              <w:jc w:val="center"/>
              <w:rPr>
                <w:rFonts w:ascii="Arial" w:hAnsi="Arial" w:cs="Arial"/>
                <w:b/>
                <w:bCs/>
                <w:color w:val="FFFFFF" w:themeColor="background1"/>
                <w:sz w:val="20"/>
                <w:szCs w:val="20"/>
              </w:rPr>
            </w:pPr>
            <w:r w:rsidRPr="00237EFA">
              <w:rPr>
                <w:rFonts w:ascii="Arial" w:hAnsi="Arial" w:cs="Arial"/>
                <w:b/>
                <w:bCs/>
                <w:color w:val="FFFFFF" w:themeColor="background1"/>
                <w:sz w:val="20"/>
                <w:szCs w:val="20"/>
              </w:rPr>
              <w:t>Evidence/Attachment</w:t>
            </w:r>
          </w:p>
        </w:tc>
        <w:tc>
          <w:tcPr>
            <w:tcW w:w="1919" w:type="dxa"/>
            <w:shd w:val="clear" w:color="auto" w:fill="002060"/>
            <w:vAlign w:val="center"/>
          </w:tcPr>
          <w:p w14:paraId="7961DF6D" w14:textId="77777777" w:rsidR="00494DA7" w:rsidRPr="00237EFA" w:rsidRDefault="00A84EE4" w:rsidP="00237EFA">
            <w:pPr>
              <w:spacing w:line="240" w:lineRule="auto"/>
              <w:jc w:val="center"/>
              <w:rPr>
                <w:rFonts w:ascii="Arial" w:hAnsi="Arial" w:cs="Arial"/>
                <w:b/>
                <w:bCs/>
                <w:color w:val="FFFFFF" w:themeColor="background1"/>
                <w:sz w:val="20"/>
                <w:szCs w:val="20"/>
              </w:rPr>
            </w:pPr>
            <w:r w:rsidRPr="00237EFA">
              <w:rPr>
                <w:rFonts w:ascii="Arial" w:hAnsi="Arial" w:cs="Arial"/>
                <w:b/>
                <w:bCs/>
                <w:color w:val="FFFFFF" w:themeColor="background1"/>
                <w:sz w:val="20"/>
                <w:szCs w:val="20"/>
              </w:rPr>
              <w:t>Status (Yes/No/In Progress)</w:t>
            </w:r>
          </w:p>
        </w:tc>
        <w:tc>
          <w:tcPr>
            <w:tcW w:w="1814" w:type="dxa"/>
            <w:shd w:val="clear" w:color="auto" w:fill="002060"/>
            <w:vAlign w:val="center"/>
          </w:tcPr>
          <w:p w14:paraId="3AC53F2D" w14:textId="77777777" w:rsidR="00494DA7" w:rsidRPr="00237EFA" w:rsidRDefault="00A84EE4" w:rsidP="00237EFA">
            <w:pPr>
              <w:spacing w:line="240" w:lineRule="auto"/>
              <w:jc w:val="center"/>
              <w:rPr>
                <w:rFonts w:ascii="Arial" w:hAnsi="Arial" w:cs="Arial"/>
                <w:b/>
                <w:bCs/>
                <w:color w:val="FFFFFF" w:themeColor="background1"/>
                <w:sz w:val="20"/>
                <w:szCs w:val="20"/>
              </w:rPr>
            </w:pPr>
            <w:r w:rsidRPr="00237EFA">
              <w:rPr>
                <w:rFonts w:ascii="Arial" w:hAnsi="Arial" w:cs="Arial"/>
                <w:b/>
                <w:bCs/>
                <w:color w:val="FFFFFF" w:themeColor="background1"/>
                <w:sz w:val="20"/>
                <w:szCs w:val="20"/>
              </w:rPr>
              <w:t>Notes</w:t>
            </w:r>
          </w:p>
        </w:tc>
      </w:tr>
      <w:tr w:rsidR="00494DA7" w:rsidRPr="00237EFA" w14:paraId="1A739217" w14:textId="77777777" w:rsidTr="00F81C8B">
        <w:tc>
          <w:tcPr>
            <w:tcW w:w="2873" w:type="dxa"/>
          </w:tcPr>
          <w:p w14:paraId="1D3B0819"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Baseline eligibility data (income/poverty; rural classification)</w:t>
            </w:r>
          </w:p>
        </w:tc>
        <w:tc>
          <w:tcPr>
            <w:tcW w:w="2250" w:type="dxa"/>
          </w:tcPr>
          <w:p w14:paraId="7CB26425" w14:textId="77777777" w:rsidR="00494DA7" w:rsidRPr="00237EFA" w:rsidRDefault="00494DA7" w:rsidP="00237EFA">
            <w:pPr>
              <w:spacing w:line="240" w:lineRule="auto"/>
              <w:rPr>
                <w:rFonts w:ascii="Arial" w:hAnsi="Arial" w:cs="Arial"/>
                <w:sz w:val="20"/>
                <w:szCs w:val="20"/>
              </w:rPr>
            </w:pPr>
          </w:p>
        </w:tc>
        <w:tc>
          <w:tcPr>
            <w:tcW w:w="1919" w:type="dxa"/>
          </w:tcPr>
          <w:p w14:paraId="62B8E111" w14:textId="77777777" w:rsidR="00494DA7" w:rsidRPr="00237EFA" w:rsidRDefault="00494DA7" w:rsidP="00237EFA">
            <w:pPr>
              <w:spacing w:line="240" w:lineRule="auto"/>
              <w:rPr>
                <w:rFonts w:ascii="Arial" w:hAnsi="Arial" w:cs="Arial"/>
                <w:sz w:val="20"/>
                <w:szCs w:val="20"/>
              </w:rPr>
            </w:pPr>
          </w:p>
        </w:tc>
        <w:tc>
          <w:tcPr>
            <w:tcW w:w="1814" w:type="dxa"/>
          </w:tcPr>
          <w:p w14:paraId="699F2C4E" w14:textId="77777777" w:rsidR="00494DA7" w:rsidRPr="00237EFA" w:rsidRDefault="00494DA7" w:rsidP="00237EFA">
            <w:pPr>
              <w:spacing w:line="240" w:lineRule="auto"/>
              <w:rPr>
                <w:rFonts w:ascii="Arial" w:hAnsi="Arial" w:cs="Arial"/>
                <w:sz w:val="20"/>
                <w:szCs w:val="20"/>
              </w:rPr>
            </w:pPr>
          </w:p>
        </w:tc>
      </w:tr>
      <w:tr w:rsidR="00494DA7" w:rsidRPr="00237EFA" w14:paraId="47F1C6CA" w14:textId="77777777" w:rsidTr="00F81C8B">
        <w:tc>
          <w:tcPr>
            <w:tcW w:w="2873" w:type="dxa"/>
          </w:tcPr>
          <w:p w14:paraId="5EB84975"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Census tract map(s) and IDs</w:t>
            </w:r>
          </w:p>
        </w:tc>
        <w:tc>
          <w:tcPr>
            <w:tcW w:w="2250" w:type="dxa"/>
          </w:tcPr>
          <w:p w14:paraId="5EE6E3D2" w14:textId="77777777" w:rsidR="00494DA7" w:rsidRPr="00237EFA" w:rsidRDefault="00494DA7" w:rsidP="00237EFA">
            <w:pPr>
              <w:spacing w:line="240" w:lineRule="auto"/>
              <w:rPr>
                <w:rFonts w:ascii="Arial" w:hAnsi="Arial" w:cs="Arial"/>
                <w:sz w:val="20"/>
                <w:szCs w:val="20"/>
              </w:rPr>
            </w:pPr>
          </w:p>
        </w:tc>
        <w:tc>
          <w:tcPr>
            <w:tcW w:w="1919" w:type="dxa"/>
          </w:tcPr>
          <w:p w14:paraId="5ABED2B8" w14:textId="77777777" w:rsidR="00494DA7" w:rsidRPr="00237EFA" w:rsidRDefault="00494DA7" w:rsidP="00237EFA">
            <w:pPr>
              <w:spacing w:line="240" w:lineRule="auto"/>
              <w:rPr>
                <w:rFonts w:ascii="Arial" w:hAnsi="Arial" w:cs="Arial"/>
                <w:sz w:val="20"/>
                <w:szCs w:val="20"/>
              </w:rPr>
            </w:pPr>
          </w:p>
        </w:tc>
        <w:tc>
          <w:tcPr>
            <w:tcW w:w="1814" w:type="dxa"/>
          </w:tcPr>
          <w:p w14:paraId="65A6B81B" w14:textId="77777777" w:rsidR="00494DA7" w:rsidRPr="00237EFA" w:rsidRDefault="00494DA7" w:rsidP="00237EFA">
            <w:pPr>
              <w:spacing w:line="240" w:lineRule="auto"/>
              <w:rPr>
                <w:rFonts w:ascii="Arial" w:hAnsi="Arial" w:cs="Arial"/>
                <w:sz w:val="20"/>
                <w:szCs w:val="20"/>
              </w:rPr>
            </w:pPr>
          </w:p>
        </w:tc>
      </w:tr>
      <w:tr w:rsidR="00494DA7" w:rsidRPr="00237EFA" w14:paraId="0CFE5246" w14:textId="77777777" w:rsidTr="00F81C8B">
        <w:tc>
          <w:tcPr>
            <w:tcW w:w="2873" w:type="dxa"/>
          </w:tcPr>
          <w:p w14:paraId="21640B33"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Infrastructure and public safety proximity analysis</w:t>
            </w:r>
          </w:p>
        </w:tc>
        <w:tc>
          <w:tcPr>
            <w:tcW w:w="2250" w:type="dxa"/>
          </w:tcPr>
          <w:p w14:paraId="160E78E0" w14:textId="77777777" w:rsidR="00494DA7" w:rsidRPr="00237EFA" w:rsidRDefault="00494DA7" w:rsidP="00237EFA">
            <w:pPr>
              <w:spacing w:line="240" w:lineRule="auto"/>
              <w:rPr>
                <w:rFonts w:ascii="Arial" w:hAnsi="Arial" w:cs="Arial"/>
                <w:sz w:val="20"/>
                <w:szCs w:val="20"/>
              </w:rPr>
            </w:pPr>
          </w:p>
        </w:tc>
        <w:tc>
          <w:tcPr>
            <w:tcW w:w="1919" w:type="dxa"/>
          </w:tcPr>
          <w:p w14:paraId="443FD894" w14:textId="77777777" w:rsidR="00494DA7" w:rsidRPr="00237EFA" w:rsidRDefault="00494DA7" w:rsidP="00237EFA">
            <w:pPr>
              <w:spacing w:line="240" w:lineRule="auto"/>
              <w:rPr>
                <w:rFonts w:ascii="Arial" w:hAnsi="Arial" w:cs="Arial"/>
                <w:sz w:val="20"/>
                <w:szCs w:val="20"/>
              </w:rPr>
            </w:pPr>
          </w:p>
        </w:tc>
        <w:tc>
          <w:tcPr>
            <w:tcW w:w="1814" w:type="dxa"/>
          </w:tcPr>
          <w:p w14:paraId="6064903D" w14:textId="77777777" w:rsidR="00494DA7" w:rsidRPr="00237EFA" w:rsidRDefault="00494DA7" w:rsidP="00237EFA">
            <w:pPr>
              <w:spacing w:line="240" w:lineRule="auto"/>
              <w:rPr>
                <w:rFonts w:ascii="Arial" w:hAnsi="Arial" w:cs="Arial"/>
                <w:sz w:val="20"/>
                <w:szCs w:val="20"/>
              </w:rPr>
            </w:pPr>
          </w:p>
        </w:tc>
      </w:tr>
      <w:tr w:rsidR="00494DA7" w:rsidRPr="00237EFA" w14:paraId="48D710AC" w14:textId="77777777" w:rsidTr="00F81C8B">
        <w:tc>
          <w:tcPr>
            <w:tcW w:w="2873" w:type="dxa"/>
          </w:tcPr>
          <w:p w14:paraId="13A7004E"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Site control documentation</w:t>
            </w:r>
          </w:p>
        </w:tc>
        <w:tc>
          <w:tcPr>
            <w:tcW w:w="2250" w:type="dxa"/>
          </w:tcPr>
          <w:p w14:paraId="08C35EA5" w14:textId="77777777" w:rsidR="00494DA7" w:rsidRPr="00237EFA" w:rsidRDefault="00494DA7" w:rsidP="00237EFA">
            <w:pPr>
              <w:spacing w:line="240" w:lineRule="auto"/>
              <w:rPr>
                <w:rFonts w:ascii="Arial" w:hAnsi="Arial" w:cs="Arial"/>
                <w:sz w:val="20"/>
                <w:szCs w:val="20"/>
              </w:rPr>
            </w:pPr>
          </w:p>
        </w:tc>
        <w:tc>
          <w:tcPr>
            <w:tcW w:w="1919" w:type="dxa"/>
          </w:tcPr>
          <w:p w14:paraId="4A129D28" w14:textId="77777777" w:rsidR="00494DA7" w:rsidRPr="00237EFA" w:rsidRDefault="00494DA7" w:rsidP="00237EFA">
            <w:pPr>
              <w:spacing w:line="240" w:lineRule="auto"/>
              <w:rPr>
                <w:rFonts w:ascii="Arial" w:hAnsi="Arial" w:cs="Arial"/>
                <w:sz w:val="20"/>
                <w:szCs w:val="20"/>
              </w:rPr>
            </w:pPr>
          </w:p>
        </w:tc>
        <w:tc>
          <w:tcPr>
            <w:tcW w:w="1814" w:type="dxa"/>
          </w:tcPr>
          <w:p w14:paraId="4723F0BB" w14:textId="77777777" w:rsidR="00494DA7" w:rsidRPr="00237EFA" w:rsidRDefault="00494DA7" w:rsidP="00237EFA">
            <w:pPr>
              <w:spacing w:line="240" w:lineRule="auto"/>
              <w:rPr>
                <w:rFonts w:ascii="Arial" w:hAnsi="Arial" w:cs="Arial"/>
                <w:sz w:val="20"/>
                <w:szCs w:val="20"/>
              </w:rPr>
            </w:pPr>
          </w:p>
        </w:tc>
      </w:tr>
      <w:tr w:rsidR="00494DA7" w:rsidRPr="00237EFA" w14:paraId="0DB08415" w14:textId="77777777" w:rsidTr="00F81C8B">
        <w:tc>
          <w:tcPr>
            <w:tcW w:w="2873" w:type="dxa"/>
          </w:tcPr>
          <w:p w14:paraId="7DA76F0C"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Zoning/land-use confirmation</w:t>
            </w:r>
          </w:p>
        </w:tc>
        <w:tc>
          <w:tcPr>
            <w:tcW w:w="2250" w:type="dxa"/>
          </w:tcPr>
          <w:p w14:paraId="1B5C1406" w14:textId="77777777" w:rsidR="00494DA7" w:rsidRPr="00237EFA" w:rsidRDefault="00494DA7" w:rsidP="00237EFA">
            <w:pPr>
              <w:spacing w:line="240" w:lineRule="auto"/>
              <w:rPr>
                <w:rFonts w:ascii="Arial" w:hAnsi="Arial" w:cs="Arial"/>
                <w:sz w:val="20"/>
                <w:szCs w:val="20"/>
              </w:rPr>
            </w:pPr>
          </w:p>
        </w:tc>
        <w:tc>
          <w:tcPr>
            <w:tcW w:w="1919" w:type="dxa"/>
          </w:tcPr>
          <w:p w14:paraId="3678FCFA" w14:textId="77777777" w:rsidR="00494DA7" w:rsidRPr="00237EFA" w:rsidRDefault="00494DA7" w:rsidP="00237EFA">
            <w:pPr>
              <w:spacing w:line="240" w:lineRule="auto"/>
              <w:rPr>
                <w:rFonts w:ascii="Arial" w:hAnsi="Arial" w:cs="Arial"/>
                <w:sz w:val="20"/>
                <w:szCs w:val="20"/>
              </w:rPr>
            </w:pPr>
          </w:p>
        </w:tc>
        <w:tc>
          <w:tcPr>
            <w:tcW w:w="1814" w:type="dxa"/>
          </w:tcPr>
          <w:p w14:paraId="5A8DD1A5" w14:textId="77777777" w:rsidR="00494DA7" w:rsidRPr="00237EFA" w:rsidRDefault="00494DA7" w:rsidP="00237EFA">
            <w:pPr>
              <w:spacing w:line="240" w:lineRule="auto"/>
              <w:rPr>
                <w:rFonts w:ascii="Arial" w:hAnsi="Arial" w:cs="Arial"/>
                <w:sz w:val="20"/>
                <w:szCs w:val="20"/>
              </w:rPr>
            </w:pPr>
          </w:p>
        </w:tc>
      </w:tr>
      <w:tr w:rsidR="00494DA7" w:rsidRPr="00237EFA" w14:paraId="69D98E0B" w14:textId="77777777" w:rsidTr="00F81C8B">
        <w:tc>
          <w:tcPr>
            <w:tcW w:w="2873" w:type="dxa"/>
          </w:tcPr>
          <w:p w14:paraId="47C7C4A3"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Utility capacity letters or maps</w:t>
            </w:r>
          </w:p>
        </w:tc>
        <w:tc>
          <w:tcPr>
            <w:tcW w:w="2250" w:type="dxa"/>
          </w:tcPr>
          <w:p w14:paraId="55CF8518" w14:textId="77777777" w:rsidR="00494DA7" w:rsidRPr="00237EFA" w:rsidRDefault="00494DA7" w:rsidP="00237EFA">
            <w:pPr>
              <w:spacing w:line="240" w:lineRule="auto"/>
              <w:rPr>
                <w:rFonts w:ascii="Arial" w:hAnsi="Arial" w:cs="Arial"/>
                <w:sz w:val="20"/>
                <w:szCs w:val="20"/>
              </w:rPr>
            </w:pPr>
          </w:p>
        </w:tc>
        <w:tc>
          <w:tcPr>
            <w:tcW w:w="1919" w:type="dxa"/>
          </w:tcPr>
          <w:p w14:paraId="1531C86E" w14:textId="77777777" w:rsidR="00494DA7" w:rsidRPr="00237EFA" w:rsidRDefault="00494DA7" w:rsidP="00237EFA">
            <w:pPr>
              <w:spacing w:line="240" w:lineRule="auto"/>
              <w:rPr>
                <w:rFonts w:ascii="Arial" w:hAnsi="Arial" w:cs="Arial"/>
                <w:sz w:val="20"/>
                <w:szCs w:val="20"/>
              </w:rPr>
            </w:pPr>
          </w:p>
        </w:tc>
        <w:tc>
          <w:tcPr>
            <w:tcW w:w="1814" w:type="dxa"/>
          </w:tcPr>
          <w:p w14:paraId="31E2EE37" w14:textId="77777777" w:rsidR="00494DA7" w:rsidRPr="00237EFA" w:rsidRDefault="00494DA7" w:rsidP="00237EFA">
            <w:pPr>
              <w:spacing w:line="240" w:lineRule="auto"/>
              <w:rPr>
                <w:rFonts w:ascii="Arial" w:hAnsi="Arial" w:cs="Arial"/>
                <w:sz w:val="20"/>
                <w:szCs w:val="20"/>
              </w:rPr>
            </w:pPr>
          </w:p>
        </w:tc>
      </w:tr>
      <w:tr w:rsidR="00494DA7" w:rsidRPr="00237EFA" w14:paraId="2FD94124" w14:textId="77777777" w:rsidTr="00F81C8B">
        <w:tc>
          <w:tcPr>
            <w:tcW w:w="2873" w:type="dxa"/>
          </w:tcPr>
          <w:p w14:paraId="5A2B2292"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Transportation access summary</w:t>
            </w:r>
          </w:p>
        </w:tc>
        <w:tc>
          <w:tcPr>
            <w:tcW w:w="2250" w:type="dxa"/>
          </w:tcPr>
          <w:p w14:paraId="43DA2E6E" w14:textId="77777777" w:rsidR="00494DA7" w:rsidRPr="00237EFA" w:rsidRDefault="00494DA7" w:rsidP="00237EFA">
            <w:pPr>
              <w:spacing w:line="240" w:lineRule="auto"/>
              <w:rPr>
                <w:rFonts w:ascii="Arial" w:hAnsi="Arial" w:cs="Arial"/>
                <w:sz w:val="20"/>
                <w:szCs w:val="20"/>
              </w:rPr>
            </w:pPr>
          </w:p>
        </w:tc>
        <w:tc>
          <w:tcPr>
            <w:tcW w:w="1919" w:type="dxa"/>
          </w:tcPr>
          <w:p w14:paraId="24340150" w14:textId="77777777" w:rsidR="00494DA7" w:rsidRPr="00237EFA" w:rsidRDefault="00494DA7" w:rsidP="00237EFA">
            <w:pPr>
              <w:spacing w:line="240" w:lineRule="auto"/>
              <w:rPr>
                <w:rFonts w:ascii="Arial" w:hAnsi="Arial" w:cs="Arial"/>
                <w:sz w:val="20"/>
                <w:szCs w:val="20"/>
              </w:rPr>
            </w:pPr>
          </w:p>
        </w:tc>
        <w:tc>
          <w:tcPr>
            <w:tcW w:w="1814" w:type="dxa"/>
          </w:tcPr>
          <w:p w14:paraId="7A231B3F" w14:textId="77777777" w:rsidR="00494DA7" w:rsidRPr="00237EFA" w:rsidRDefault="00494DA7" w:rsidP="00237EFA">
            <w:pPr>
              <w:spacing w:line="240" w:lineRule="auto"/>
              <w:rPr>
                <w:rFonts w:ascii="Arial" w:hAnsi="Arial" w:cs="Arial"/>
                <w:sz w:val="20"/>
                <w:szCs w:val="20"/>
              </w:rPr>
            </w:pPr>
          </w:p>
        </w:tc>
      </w:tr>
      <w:tr w:rsidR="00494DA7" w:rsidRPr="00237EFA" w14:paraId="1767AE5D" w14:textId="77777777" w:rsidTr="00F81C8B">
        <w:tc>
          <w:tcPr>
            <w:tcW w:w="2873" w:type="dxa"/>
          </w:tcPr>
          <w:p w14:paraId="3CA4C24B"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Environmental Site Assessment (≤3 years) summary</w:t>
            </w:r>
          </w:p>
        </w:tc>
        <w:tc>
          <w:tcPr>
            <w:tcW w:w="2250" w:type="dxa"/>
          </w:tcPr>
          <w:p w14:paraId="17BE8446" w14:textId="77777777" w:rsidR="00494DA7" w:rsidRPr="00237EFA" w:rsidRDefault="00494DA7" w:rsidP="00237EFA">
            <w:pPr>
              <w:spacing w:line="240" w:lineRule="auto"/>
              <w:rPr>
                <w:rFonts w:ascii="Arial" w:hAnsi="Arial" w:cs="Arial"/>
                <w:sz w:val="20"/>
                <w:szCs w:val="20"/>
              </w:rPr>
            </w:pPr>
          </w:p>
        </w:tc>
        <w:tc>
          <w:tcPr>
            <w:tcW w:w="1919" w:type="dxa"/>
          </w:tcPr>
          <w:p w14:paraId="02E540C8" w14:textId="77777777" w:rsidR="00494DA7" w:rsidRPr="00237EFA" w:rsidRDefault="00494DA7" w:rsidP="00237EFA">
            <w:pPr>
              <w:spacing w:line="240" w:lineRule="auto"/>
              <w:rPr>
                <w:rFonts w:ascii="Arial" w:hAnsi="Arial" w:cs="Arial"/>
                <w:sz w:val="20"/>
                <w:szCs w:val="20"/>
              </w:rPr>
            </w:pPr>
          </w:p>
        </w:tc>
        <w:tc>
          <w:tcPr>
            <w:tcW w:w="1814" w:type="dxa"/>
          </w:tcPr>
          <w:p w14:paraId="2FF2F9D8" w14:textId="77777777" w:rsidR="00494DA7" w:rsidRPr="00237EFA" w:rsidRDefault="00494DA7" w:rsidP="00237EFA">
            <w:pPr>
              <w:spacing w:line="240" w:lineRule="auto"/>
              <w:rPr>
                <w:rFonts w:ascii="Arial" w:hAnsi="Arial" w:cs="Arial"/>
                <w:sz w:val="20"/>
                <w:szCs w:val="20"/>
              </w:rPr>
            </w:pPr>
          </w:p>
        </w:tc>
      </w:tr>
      <w:tr w:rsidR="00494DA7" w:rsidRPr="00237EFA" w14:paraId="4B562DE5" w14:textId="77777777" w:rsidTr="00F81C8B">
        <w:tc>
          <w:tcPr>
            <w:tcW w:w="2873" w:type="dxa"/>
          </w:tcPr>
          <w:p w14:paraId="7F98D68F"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Primary use case and phasing plan</w:t>
            </w:r>
          </w:p>
        </w:tc>
        <w:tc>
          <w:tcPr>
            <w:tcW w:w="2250" w:type="dxa"/>
          </w:tcPr>
          <w:p w14:paraId="256C35AB" w14:textId="77777777" w:rsidR="00494DA7" w:rsidRPr="00237EFA" w:rsidRDefault="00494DA7" w:rsidP="00237EFA">
            <w:pPr>
              <w:spacing w:line="240" w:lineRule="auto"/>
              <w:rPr>
                <w:rFonts w:ascii="Arial" w:hAnsi="Arial" w:cs="Arial"/>
                <w:sz w:val="20"/>
                <w:szCs w:val="20"/>
              </w:rPr>
            </w:pPr>
          </w:p>
        </w:tc>
        <w:tc>
          <w:tcPr>
            <w:tcW w:w="1919" w:type="dxa"/>
          </w:tcPr>
          <w:p w14:paraId="4353B591" w14:textId="77777777" w:rsidR="00494DA7" w:rsidRPr="00237EFA" w:rsidRDefault="00494DA7" w:rsidP="00237EFA">
            <w:pPr>
              <w:spacing w:line="240" w:lineRule="auto"/>
              <w:rPr>
                <w:rFonts w:ascii="Arial" w:hAnsi="Arial" w:cs="Arial"/>
                <w:sz w:val="20"/>
                <w:szCs w:val="20"/>
              </w:rPr>
            </w:pPr>
          </w:p>
        </w:tc>
        <w:tc>
          <w:tcPr>
            <w:tcW w:w="1814" w:type="dxa"/>
          </w:tcPr>
          <w:p w14:paraId="7D694A59" w14:textId="77777777" w:rsidR="00494DA7" w:rsidRPr="00237EFA" w:rsidRDefault="00494DA7" w:rsidP="00237EFA">
            <w:pPr>
              <w:spacing w:line="240" w:lineRule="auto"/>
              <w:rPr>
                <w:rFonts w:ascii="Arial" w:hAnsi="Arial" w:cs="Arial"/>
                <w:sz w:val="20"/>
                <w:szCs w:val="20"/>
              </w:rPr>
            </w:pPr>
          </w:p>
        </w:tc>
      </w:tr>
      <w:tr w:rsidR="00494DA7" w:rsidRPr="00237EFA" w14:paraId="01B8A27F" w14:textId="77777777" w:rsidTr="00F81C8B">
        <w:tc>
          <w:tcPr>
            <w:tcW w:w="2873" w:type="dxa"/>
          </w:tcPr>
          <w:p w14:paraId="442B83E1"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Evidence of demand (RFIs, inquiries, comparable projects)</w:t>
            </w:r>
          </w:p>
        </w:tc>
        <w:tc>
          <w:tcPr>
            <w:tcW w:w="2250" w:type="dxa"/>
          </w:tcPr>
          <w:p w14:paraId="546F38D6" w14:textId="77777777" w:rsidR="00494DA7" w:rsidRPr="00237EFA" w:rsidRDefault="00494DA7" w:rsidP="00237EFA">
            <w:pPr>
              <w:spacing w:line="240" w:lineRule="auto"/>
              <w:rPr>
                <w:rFonts w:ascii="Arial" w:hAnsi="Arial" w:cs="Arial"/>
                <w:sz w:val="20"/>
                <w:szCs w:val="20"/>
              </w:rPr>
            </w:pPr>
          </w:p>
        </w:tc>
        <w:tc>
          <w:tcPr>
            <w:tcW w:w="1919" w:type="dxa"/>
          </w:tcPr>
          <w:p w14:paraId="49E44B60" w14:textId="77777777" w:rsidR="00494DA7" w:rsidRPr="00237EFA" w:rsidRDefault="00494DA7" w:rsidP="00237EFA">
            <w:pPr>
              <w:spacing w:line="240" w:lineRule="auto"/>
              <w:rPr>
                <w:rFonts w:ascii="Arial" w:hAnsi="Arial" w:cs="Arial"/>
                <w:sz w:val="20"/>
                <w:szCs w:val="20"/>
              </w:rPr>
            </w:pPr>
          </w:p>
        </w:tc>
        <w:tc>
          <w:tcPr>
            <w:tcW w:w="1814" w:type="dxa"/>
          </w:tcPr>
          <w:p w14:paraId="562C6F5A" w14:textId="77777777" w:rsidR="00494DA7" w:rsidRPr="00237EFA" w:rsidRDefault="00494DA7" w:rsidP="00237EFA">
            <w:pPr>
              <w:spacing w:line="240" w:lineRule="auto"/>
              <w:rPr>
                <w:rFonts w:ascii="Arial" w:hAnsi="Arial" w:cs="Arial"/>
                <w:sz w:val="20"/>
                <w:szCs w:val="20"/>
              </w:rPr>
            </w:pPr>
          </w:p>
        </w:tc>
      </w:tr>
      <w:tr w:rsidR="00494DA7" w:rsidRPr="00237EFA" w14:paraId="3ED3F011" w14:textId="77777777" w:rsidTr="00F81C8B">
        <w:tc>
          <w:tcPr>
            <w:tcW w:w="2873" w:type="dxa"/>
          </w:tcPr>
          <w:p w14:paraId="233E8A9A"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Workforce availability and training partners</w:t>
            </w:r>
          </w:p>
        </w:tc>
        <w:tc>
          <w:tcPr>
            <w:tcW w:w="2250" w:type="dxa"/>
          </w:tcPr>
          <w:p w14:paraId="3157ECB9" w14:textId="77777777" w:rsidR="00494DA7" w:rsidRPr="00237EFA" w:rsidRDefault="00494DA7" w:rsidP="00237EFA">
            <w:pPr>
              <w:spacing w:line="240" w:lineRule="auto"/>
              <w:rPr>
                <w:rFonts w:ascii="Arial" w:hAnsi="Arial" w:cs="Arial"/>
                <w:sz w:val="20"/>
                <w:szCs w:val="20"/>
              </w:rPr>
            </w:pPr>
          </w:p>
        </w:tc>
        <w:tc>
          <w:tcPr>
            <w:tcW w:w="1919" w:type="dxa"/>
          </w:tcPr>
          <w:p w14:paraId="15213739" w14:textId="77777777" w:rsidR="00494DA7" w:rsidRPr="00237EFA" w:rsidRDefault="00494DA7" w:rsidP="00237EFA">
            <w:pPr>
              <w:spacing w:line="240" w:lineRule="auto"/>
              <w:rPr>
                <w:rFonts w:ascii="Arial" w:hAnsi="Arial" w:cs="Arial"/>
                <w:sz w:val="20"/>
                <w:szCs w:val="20"/>
              </w:rPr>
            </w:pPr>
          </w:p>
        </w:tc>
        <w:tc>
          <w:tcPr>
            <w:tcW w:w="1814" w:type="dxa"/>
          </w:tcPr>
          <w:p w14:paraId="36503A28" w14:textId="77777777" w:rsidR="00494DA7" w:rsidRPr="00237EFA" w:rsidRDefault="00494DA7" w:rsidP="00237EFA">
            <w:pPr>
              <w:spacing w:line="240" w:lineRule="auto"/>
              <w:rPr>
                <w:rFonts w:ascii="Arial" w:hAnsi="Arial" w:cs="Arial"/>
                <w:sz w:val="20"/>
                <w:szCs w:val="20"/>
              </w:rPr>
            </w:pPr>
          </w:p>
        </w:tc>
      </w:tr>
      <w:tr w:rsidR="00494DA7" w:rsidRPr="00237EFA" w14:paraId="11978FD9" w14:textId="77777777" w:rsidTr="00F81C8B">
        <w:tc>
          <w:tcPr>
            <w:tcW w:w="2873" w:type="dxa"/>
          </w:tcPr>
          <w:p w14:paraId="63AD865A"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Local incentives and policy commitments</w:t>
            </w:r>
          </w:p>
        </w:tc>
        <w:tc>
          <w:tcPr>
            <w:tcW w:w="2250" w:type="dxa"/>
          </w:tcPr>
          <w:p w14:paraId="13082428" w14:textId="77777777" w:rsidR="00494DA7" w:rsidRPr="00237EFA" w:rsidRDefault="00494DA7" w:rsidP="00237EFA">
            <w:pPr>
              <w:spacing w:line="240" w:lineRule="auto"/>
              <w:rPr>
                <w:rFonts w:ascii="Arial" w:hAnsi="Arial" w:cs="Arial"/>
                <w:sz w:val="20"/>
                <w:szCs w:val="20"/>
              </w:rPr>
            </w:pPr>
          </w:p>
        </w:tc>
        <w:tc>
          <w:tcPr>
            <w:tcW w:w="1919" w:type="dxa"/>
          </w:tcPr>
          <w:p w14:paraId="3A5FD6DE" w14:textId="77777777" w:rsidR="00494DA7" w:rsidRPr="00237EFA" w:rsidRDefault="00494DA7" w:rsidP="00237EFA">
            <w:pPr>
              <w:spacing w:line="240" w:lineRule="auto"/>
              <w:rPr>
                <w:rFonts w:ascii="Arial" w:hAnsi="Arial" w:cs="Arial"/>
                <w:sz w:val="20"/>
                <w:szCs w:val="20"/>
              </w:rPr>
            </w:pPr>
          </w:p>
        </w:tc>
        <w:tc>
          <w:tcPr>
            <w:tcW w:w="1814" w:type="dxa"/>
          </w:tcPr>
          <w:p w14:paraId="09C2CF4E" w14:textId="77777777" w:rsidR="00494DA7" w:rsidRPr="00237EFA" w:rsidRDefault="00494DA7" w:rsidP="00237EFA">
            <w:pPr>
              <w:spacing w:line="240" w:lineRule="auto"/>
              <w:rPr>
                <w:rFonts w:ascii="Arial" w:hAnsi="Arial" w:cs="Arial"/>
                <w:sz w:val="20"/>
                <w:szCs w:val="20"/>
              </w:rPr>
            </w:pPr>
          </w:p>
        </w:tc>
      </w:tr>
      <w:tr w:rsidR="00494DA7" w:rsidRPr="00237EFA" w14:paraId="7DAD056A" w14:textId="77777777" w:rsidTr="00F81C8B">
        <w:tc>
          <w:tcPr>
            <w:tcW w:w="2873" w:type="dxa"/>
          </w:tcPr>
          <w:p w14:paraId="7E762742"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Letters of support (state/local partners)</w:t>
            </w:r>
          </w:p>
        </w:tc>
        <w:tc>
          <w:tcPr>
            <w:tcW w:w="2250" w:type="dxa"/>
          </w:tcPr>
          <w:p w14:paraId="15CD0E5C" w14:textId="77777777" w:rsidR="00494DA7" w:rsidRPr="00237EFA" w:rsidRDefault="00494DA7" w:rsidP="00237EFA">
            <w:pPr>
              <w:spacing w:line="240" w:lineRule="auto"/>
              <w:rPr>
                <w:rFonts w:ascii="Arial" w:hAnsi="Arial" w:cs="Arial"/>
                <w:sz w:val="20"/>
                <w:szCs w:val="20"/>
              </w:rPr>
            </w:pPr>
          </w:p>
        </w:tc>
        <w:tc>
          <w:tcPr>
            <w:tcW w:w="1919" w:type="dxa"/>
          </w:tcPr>
          <w:p w14:paraId="76AC8ACD" w14:textId="77777777" w:rsidR="00494DA7" w:rsidRPr="00237EFA" w:rsidRDefault="00494DA7" w:rsidP="00237EFA">
            <w:pPr>
              <w:spacing w:line="240" w:lineRule="auto"/>
              <w:rPr>
                <w:rFonts w:ascii="Arial" w:hAnsi="Arial" w:cs="Arial"/>
                <w:sz w:val="20"/>
                <w:szCs w:val="20"/>
              </w:rPr>
            </w:pPr>
          </w:p>
        </w:tc>
        <w:tc>
          <w:tcPr>
            <w:tcW w:w="1814" w:type="dxa"/>
          </w:tcPr>
          <w:p w14:paraId="5455E131" w14:textId="77777777" w:rsidR="00494DA7" w:rsidRPr="00237EFA" w:rsidRDefault="00494DA7" w:rsidP="00237EFA">
            <w:pPr>
              <w:spacing w:line="240" w:lineRule="auto"/>
              <w:rPr>
                <w:rFonts w:ascii="Arial" w:hAnsi="Arial" w:cs="Arial"/>
                <w:sz w:val="20"/>
                <w:szCs w:val="20"/>
              </w:rPr>
            </w:pPr>
          </w:p>
        </w:tc>
      </w:tr>
      <w:tr w:rsidR="00494DA7" w:rsidRPr="00237EFA" w14:paraId="7B7BD0AF" w14:textId="77777777" w:rsidTr="00F81C8B">
        <w:tc>
          <w:tcPr>
            <w:tcW w:w="2873" w:type="dxa"/>
          </w:tcPr>
          <w:p w14:paraId="71B5B3EF"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Projected economic and community impacts</w:t>
            </w:r>
          </w:p>
        </w:tc>
        <w:tc>
          <w:tcPr>
            <w:tcW w:w="2250" w:type="dxa"/>
          </w:tcPr>
          <w:p w14:paraId="62C4BE8D" w14:textId="77777777" w:rsidR="00494DA7" w:rsidRPr="00237EFA" w:rsidRDefault="00494DA7" w:rsidP="00237EFA">
            <w:pPr>
              <w:spacing w:line="240" w:lineRule="auto"/>
              <w:rPr>
                <w:rFonts w:ascii="Arial" w:hAnsi="Arial" w:cs="Arial"/>
                <w:sz w:val="20"/>
                <w:szCs w:val="20"/>
              </w:rPr>
            </w:pPr>
          </w:p>
        </w:tc>
        <w:tc>
          <w:tcPr>
            <w:tcW w:w="1919" w:type="dxa"/>
          </w:tcPr>
          <w:p w14:paraId="30CF0243" w14:textId="77777777" w:rsidR="00494DA7" w:rsidRPr="00237EFA" w:rsidRDefault="00494DA7" w:rsidP="00237EFA">
            <w:pPr>
              <w:spacing w:line="240" w:lineRule="auto"/>
              <w:rPr>
                <w:rFonts w:ascii="Arial" w:hAnsi="Arial" w:cs="Arial"/>
                <w:sz w:val="20"/>
                <w:szCs w:val="20"/>
              </w:rPr>
            </w:pPr>
          </w:p>
        </w:tc>
        <w:tc>
          <w:tcPr>
            <w:tcW w:w="1814" w:type="dxa"/>
          </w:tcPr>
          <w:p w14:paraId="1096926B" w14:textId="77777777" w:rsidR="00494DA7" w:rsidRPr="00237EFA" w:rsidRDefault="00494DA7" w:rsidP="00237EFA">
            <w:pPr>
              <w:spacing w:line="240" w:lineRule="auto"/>
              <w:rPr>
                <w:rFonts w:ascii="Arial" w:hAnsi="Arial" w:cs="Arial"/>
                <w:sz w:val="20"/>
                <w:szCs w:val="20"/>
              </w:rPr>
            </w:pPr>
          </w:p>
        </w:tc>
      </w:tr>
    </w:tbl>
    <w:p w14:paraId="7776D504" w14:textId="77777777" w:rsidR="00F81C8B" w:rsidRDefault="00F81C8B" w:rsidP="00237EFA">
      <w:pPr>
        <w:pStyle w:val="Heading1"/>
        <w:spacing w:line="240" w:lineRule="auto"/>
        <w:rPr>
          <w:rFonts w:ascii="Arial" w:hAnsi="Arial" w:cs="Arial"/>
          <w:sz w:val="20"/>
          <w:szCs w:val="20"/>
        </w:rPr>
      </w:pPr>
    </w:p>
    <w:p w14:paraId="7FA47AEC" w14:textId="77777777" w:rsidR="00F81C8B" w:rsidRDefault="00F81C8B" w:rsidP="00F81C8B"/>
    <w:p w14:paraId="53DDBD75" w14:textId="77777777" w:rsidR="00F81C8B" w:rsidRPr="00F81C8B" w:rsidRDefault="00F81C8B" w:rsidP="00F81C8B"/>
    <w:p w14:paraId="1D7E4C41" w14:textId="6FADBE9F" w:rsidR="00494DA7" w:rsidRPr="00237EFA" w:rsidRDefault="00A84EE4" w:rsidP="00237EFA">
      <w:pPr>
        <w:pStyle w:val="Heading1"/>
        <w:spacing w:line="240" w:lineRule="auto"/>
        <w:rPr>
          <w:rFonts w:ascii="Arial" w:hAnsi="Arial" w:cs="Arial"/>
          <w:sz w:val="20"/>
          <w:szCs w:val="20"/>
        </w:rPr>
      </w:pPr>
      <w:r w:rsidRPr="00237EFA">
        <w:rPr>
          <w:rFonts w:ascii="Arial" w:hAnsi="Arial" w:cs="Arial"/>
          <w:sz w:val="20"/>
          <w:szCs w:val="20"/>
        </w:rPr>
        <w:t>Appendix B. Definitions &amp; References</w:t>
      </w:r>
    </w:p>
    <w:p w14:paraId="11402119"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Shovel-ready: a site capable of supporting near-term economic development, with site control, compatible zoning, validated utilities, transportation access, current environmental due diligence, and no known fatal flaws or a credible mitigation plan.</w:t>
      </w:r>
    </w:p>
    <w:p w14:paraId="64427A7F" w14:textId="77777777" w:rsidR="00494DA7" w:rsidRPr="00F81C8B" w:rsidRDefault="00A84EE4" w:rsidP="00F81C8B">
      <w:pPr>
        <w:pStyle w:val="ListBullet"/>
        <w:numPr>
          <w:ilvl w:val="0"/>
          <w:numId w:val="0"/>
        </w:numPr>
        <w:spacing w:line="240" w:lineRule="auto"/>
        <w:ind w:left="360" w:hanging="360"/>
        <w:rPr>
          <w:rFonts w:ascii="Arial" w:eastAsiaTheme="majorEastAsia" w:hAnsi="Arial" w:cs="Arial"/>
          <w:b/>
          <w:bCs/>
          <w:color w:val="365F91" w:themeColor="accent1" w:themeShade="BF"/>
          <w:sz w:val="20"/>
          <w:szCs w:val="20"/>
        </w:rPr>
      </w:pPr>
      <w:r w:rsidRPr="00F81C8B">
        <w:rPr>
          <w:rFonts w:ascii="Arial" w:eastAsiaTheme="majorEastAsia" w:hAnsi="Arial" w:cs="Arial"/>
          <w:b/>
          <w:bCs/>
          <w:color w:val="365F91" w:themeColor="accent1" w:themeShade="BF"/>
          <w:sz w:val="20"/>
          <w:szCs w:val="20"/>
        </w:rPr>
        <w:t>References:</w:t>
      </w:r>
    </w:p>
    <w:p w14:paraId="65623FBD"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 Kentucky Site Readiness criteria: https://newkentuckyhome.ky.gov/edis/PDF/Site/SiteCriteria.pdf</w:t>
      </w:r>
    </w:p>
    <w:p w14:paraId="05341B31"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 Kentucky Opportunity Zones 2.0 landing page: https://newkentuckyhome.ky.gov/Locating_Expanding/KYoz</w:t>
      </w:r>
    </w:p>
    <w:p w14:paraId="3B03DEFF" w14:textId="77777777" w:rsidR="00494DA7" w:rsidRPr="00237EFA" w:rsidRDefault="00A84EE4" w:rsidP="00237EFA">
      <w:pPr>
        <w:pStyle w:val="Heading1"/>
        <w:spacing w:line="240" w:lineRule="auto"/>
        <w:rPr>
          <w:rFonts w:ascii="Arial" w:hAnsi="Arial" w:cs="Arial"/>
          <w:sz w:val="20"/>
          <w:szCs w:val="20"/>
        </w:rPr>
      </w:pPr>
      <w:r w:rsidRPr="00237EFA">
        <w:rPr>
          <w:rFonts w:ascii="Arial" w:hAnsi="Arial" w:cs="Arial"/>
          <w:sz w:val="20"/>
          <w:szCs w:val="20"/>
        </w:rPr>
        <w:t>Contact</w:t>
      </w:r>
    </w:p>
    <w:p w14:paraId="1E8EBF52" w14:textId="77777777" w:rsidR="00494DA7" w:rsidRPr="00237EFA" w:rsidRDefault="00A84EE4" w:rsidP="00237EFA">
      <w:pPr>
        <w:spacing w:line="240" w:lineRule="auto"/>
        <w:rPr>
          <w:rFonts w:ascii="Arial" w:hAnsi="Arial" w:cs="Arial"/>
          <w:sz w:val="20"/>
          <w:szCs w:val="20"/>
        </w:rPr>
      </w:pPr>
      <w:r w:rsidRPr="00237EFA">
        <w:rPr>
          <w:rFonts w:ascii="Arial" w:hAnsi="Arial" w:cs="Arial"/>
          <w:sz w:val="20"/>
          <w:szCs w:val="20"/>
        </w:rPr>
        <w:t>For questions, please contact: Deven Richardson (deven.richardson@ky.gov).</w:t>
      </w:r>
    </w:p>
    <w:sectPr w:rsidR="00494DA7" w:rsidRPr="00237EFA"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1F85" w14:textId="77777777" w:rsidR="009161A5" w:rsidRDefault="009161A5" w:rsidP="00237EFA">
      <w:pPr>
        <w:spacing w:after="0" w:line="240" w:lineRule="auto"/>
      </w:pPr>
      <w:r>
        <w:separator/>
      </w:r>
    </w:p>
  </w:endnote>
  <w:endnote w:type="continuationSeparator" w:id="0">
    <w:p w14:paraId="3046BA5F" w14:textId="77777777" w:rsidR="009161A5" w:rsidRDefault="009161A5" w:rsidP="0023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A7A4" w14:textId="77777777" w:rsidR="009161A5" w:rsidRDefault="009161A5" w:rsidP="00237EFA">
      <w:pPr>
        <w:spacing w:after="0" w:line="240" w:lineRule="auto"/>
      </w:pPr>
      <w:r>
        <w:separator/>
      </w:r>
    </w:p>
  </w:footnote>
  <w:footnote w:type="continuationSeparator" w:id="0">
    <w:p w14:paraId="01897162" w14:textId="77777777" w:rsidR="009161A5" w:rsidRDefault="009161A5" w:rsidP="0023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1E4D" w14:textId="4A406BBD" w:rsidR="00A97CF9" w:rsidRDefault="00A97CF9">
    <w:pPr>
      <w:pStyle w:val="Header"/>
    </w:pPr>
    <w:r>
      <w:rPr>
        <w:noProof/>
      </w:rPr>
      <w:drawing>
        <wp:anchor distT="0" distB="0" distL="114300" distR="114300" simplePos="0" relativeHeight="251658240" behindDoc="0" locked="0" layoutInCell="1" allowOverlap="1" wp14:anchorId="2471FE04" wp14:editId="29AD3093">
          <wp:simplePos x="0" y="0"/>
          <wp:positionH relativeFrom="column">
            <wp:posOffset>1174750</wp:posOffset>
          </wp:positionH>
          <wp:positionV relativeFrom="paragraph">
            <wp:posOffset>-285750</wp:posOffset>
          </wp:positionV>
          <wp:extent cx="2966720" cy="738505"/>
          <wp:effectExtent l="0" t="0" r="5080" b="4445"/>
          <wp:wrapSquare wrapText="bothSides"/>
          <wp:docPr id="2" name="Picture 1">
            <a:extLst xmlns:a="http://schemas.openxmlformats.org/drawingml/2006/main">
              <a:ext uri="{FF2B5EF4-FFF2-40B4-BE49-F238E27FC236}">
                <a16:creationId xmlns:a16="http://schemas.microsoft.com/office/drawing/2014/main" id="{0DB0D103-BAE3-443D-BBD3-C14115DB9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DB0D103-BAE3-443D-BBD3-C14115DB9AE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66720" cy="7385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B02D924"/>
    <w:lvl w:ilvl="0">
      <w:start w:val="1"/>
      <w:numFmt w:val="bullet"/>
      <w:pStyle w:val="ListBullet"/>
      <w:lvlText w:val=""/>
      <w:lvlJc w:val="left"/>
      <w:pPr>
        <w:tabs>
          <w:tab w:val="num" w:pos="360"/>
        </w:tabs>
        <w:ind w:left="360" w:hanging="360"/>
      </w:pPr>
      <w:rPr>
        <w:rFonts w:ascii="Symbol" w:hAnsi="Symbol" w:hint="default"/>
      </w:rPr>
    </w:lvl>
  </w:abstractNum>
  <w:num w:numId="1" w16cid:durableId="1856991903">
    <w:abstractNumId w:val="8"/>
  </w:num>
  <w:num w:numId="2" w16cid:durableId="1785731527">
    <w:abstractNumId w:val="6"/>
  </w:num>
  <w:num w:numId="3" w16cid:durableId="1748267110">
    <w:abstractNumId w:val="5"/>
  </w:num>
  <w:num w:numId="4" w16cid:durableId="1422216148">
    <w:abstractNumId w:val="4"/>
  </w:num>
  <w:num w:numId="5" w16cid:durableId="647981622">
    <w:abstractNumId w:val="7"/>
  </w:num>
  <w:num w:numId="6" w16cid:durableId="647246793">
    <w:abstractNumId w:val="3"/>
  </w:num>
  <w:num w:numId="7" w16cid:durableId="1473861994">
    <w:abstractNumId w:val="2"/>
  </w:num>
  <w:num w:numId="8" w16cid:durableId="638464812">
    <w:abstractNumId w:val="1"/>
  </w:num>
  <w:num w:numId="9" w16cid:durableId="180626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A77"/>
    <w:rsid w:val="0002637C"/>
    <w:rsid w:val="00034616"/>
    <w:rsid w:val="0006063C"/>
    <w:rsid w:val="000627FB"/>
    <w:rsid w:val="000A5BB4"/>
    <w:rsid w:val="0015074B"/>
    <w:rsid w:val="00164148"/>
    <w:rsid w:val="00185764"/>
    <w:rsid w:val="00237EFA"/>
    <w:rsid w:val="00266D46"/>
    <w:rsid w:val="00292B94"/>
    <w:rsid w:val="0029639D"/>
    <w:rsid w:val="00326F90"/>
    <w:rsid w:val="00374C7E"/>
    <w:rsid w:val="00425695"/>
    <w:rsid w:val="00463C86"/>
    <w:rsid w:val="00494DA7"/>
    <w:rsid w:val="004B524D"/>
    <w:rsid w:val="00515330"/>
    <w:rsid w:val="00542217"/>
    <w:rsid w:val="00565775"/>
    <w:rsid w:val="0061795D"/>
    <w:rsid w:val="00676E21"/>
    <w:rsid w:val="00683762"/>
    <w:rsid w:val="006D5581"/>
    <w:rsid w:val="00824AB4"/>
    <w:rsid w:val="009161A5"/>
    <w:rsid w:val="009B36A3"/>
    <w:rsid w:val="009E0F04"/>
    <w:rsid w:val="00A84EE4"/>
    <w:rsid w:val="00A97CF9"/>
    <w:rsid w:val="00AA1D8D"/>
    <w:rsid w:val="00AC3AD9"/>
    <w:rsid w:val="00AC7B1E"/>
    <w:rsid w:val="00B47730"/>
    <w:rsid w:val="00B83279"/>
    <w:rsid w:val="00BC1258"/>
    <w:rsid w:val="00C47559"/>
    <w:rsid w:val="00C572F0"/>
    <w:rsid w:val="00CB0664"/>
    <w:rsid w:val="00D70F4D"/>
    <w:rsid w:val="00D75E9C"/>
    <w:rsid w:val="00DB58D1"/>
    <w:rsid w:val="00E228AA"/>
    <w:rsid w:val="00E4307B"/>
    <w:rsid w:val="00E61229"/>
    <w:rsid w:val="00E81520"/>
    <w:rsid w:val="00E87055"/>
    <w:rsid w:val="00EE0003"/>
    <w:rsid w:val="00F45F2A"/>
    <w:rsid w:val="00F81C8B"/>
    <w:rsid w:val="00FC693F"/>
    <w:rsid w:val="20614521"/>
    <w:rsid w:val="43679428"/>
    <w:rsid w:val="6105C94A"/>
    <w:rsid w:val="6CEDA79C"/>
    <w:rsid w:val="77FB4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5A3D8"/>
  <w14:defaultImageDpi w14:val="300"/>
  <w15:docId w15:val="{FD732FD3-8E59-4DAF-A6D2-886A8EFE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C418764D33A94ABF9074EE80B6D660" ma:contentTypeVersion="16" ma:contentTypeDescription="Create a new document." ma:contentTypeScope="" ma:versionID="3837a669d7418a48817f45bd3fd4b0e7">
  <xsd:schema xmlns:xsd="http://www.w3.org/2001/XMLSchema" xmlns:xs="http://www.w3.org/2001/XMLSchema" xmlns:p="http://schemas.microsoft.com/office/2006/metadata/properties" xmlns:ns2="e98c92ac-bf9f-42a3-a703-2591559f287e" xmlns:ns3="b5622e28-66ca-46a5-9ef9-60c501a140a0" targetNamespace="http://schemas.microsoft.com/office/2006/metadata/properties" ma:root="true" ma:fieldsID="3ce238f282547e003cd1e42af7f894e6" ns2:_="" ns3:_="">
    <xsd:import namespace="e98c92ac-bf9f-42a3-a703-2591559f287e"/>
    <xsd:import namespace="b5622e28-66ca-46a5-9ef9-60c501a140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c92ac-bf9f-42a3-a703-2591559f2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22e28-66ca-46a5-9ef9-60c501a140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167373-dfbc-44b6-ae7d-d4baa178e3b3}" ma:internalName="TaxCatchAll" ma:showField="CatchAllData" ma:web="b5622e28-66ca-46a5-9ef9-60c501a14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c92ac-bf9f-42a3-a703-2591559f287e">
      <Terms xmlns="http://schemas.microsoft.com/office/infopath/2007/PartnerControls"/>
    </lcf76f155ced4ddcb4097134ff3c332f>
    <TaxCatchAll xmlns="b5622e28-66ca-46a5-9ef9-60c501a140a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F254B18-99AE-43C9-A5AB-3AA7F1913E63}">
  <ds:schemaRefs>
    <ds:schemaRef ds:uri="http://schemas.microsoft.com/sharepoint/v3/contenttype/forms"/>
  </ds:schemaRefs>
</ds:datastoreItem>
</file>

<file path=customXml/itemProps3.xml><?xml version="1.0" encoding="utf-8"?>
<ds:datastoreItem xmlns:ds="http://schemas.openxmlformats.org/officeDocument/2006/customXml" ds:itemID="{F97067AE-600D-4CEB-80E0-56A9E8B2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c92ac-bf9f-42a3-a703-2591559f287e"/>
    <ds:schemaRef ds:uri="b5622e28-66ca-46a5-9ef9-60c501a14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40974-F948-4C9F-8504-D549175AE164}">
  <ds:schemaRefs>
    <ds:schemaRef ds:uri="http://schemas.microsoft.com/office/2006/metadata/properties"/>
    <ds:schemaRef ds:uri="http://schemas.microsoft.com/office/infopath/2007/PartnerControls"/>
    <ds:schemaRef ds:uri="e98c92ac-bf9f-42a3-a703-2591559f287e"/>
    <ds:schemaRef ds:uri="b5622e28-66ca-46a5-9ef9-60c501a140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6823</Characters>
  <Application>Microsoft Office Word</Application>
  <DocSecurity>0</DocSecurity>
  <Lines>56</Lines>
  <Paragraphs>16</Paragraphs>
  <ScaleCrop>false</ScaleCrop>
  <Manager/>
  <Company/>
  <LinksUpToDate>false</LinksUpToDate>
  <CharactersWithSpaces>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Richardson, Deven (CED)</cp:lastModifiedBy>
  <cp:revision>2</cp:revision>
  <dcterms:created xsi:type="dcterms:W3CDTF">2026-03-16T14:07:00Z</dcterms:created>
  <dcterms:modified xsi:type="dcterms:W3CDTF">2026-03-16T14:07:00Z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0x0101002DC418764D33A94ABF9074EE80B6D660</vt:lpwstr>
  </property>
  <property fmtid="{D5CDD505-2E9C-101B-9397-08002B2CF9AE}" pid="3" name="MediaServiceImageTags">
    <vt:lpwstr/>
  </property>
</Properties>
</file>